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 TSG-RAN WG4 Meetin</w:t>
      </w:r>
      <w:r>
        <w:rPr>
          <w:rFonts w:ascii="Arial" w:hAnsi="Arial" w:eastAsia="MS Mincho" w:cs="Arial"/>
          <w:b/>
          <w:color w:val="auto"/>
          <w:sz w:val="24"/>
          <w:szCs w:val="24"/>
          <w:highlight w:val="none"/>
        </w:rPr>
        <w:t>g #</w:t>
      </w:r>
      <w:r>
        <w:rPr>
          <w:rFonts w:hint="eastAsia" w:ascii="Arial" w:hAnsi="Arial" w:eastAsia="宋体" w:cs="Arial"/>
          <w:b/>
          <w:color w:val="auto"/>
          <w:sz w:val="24"/>
          <w:szCs w:val="24"/>
          <w:highlight w:val="none"/>
          <w:lang w:val="en-US" w:eastAsia="zh-CN"/>
        </w:rPr>
        <w:t>114bis</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50476</w:t>
      </w:r>
      <w:bookmarkStart w:id="9" w:name="_GoBack"/>
      <w:bookmarkEnd w:id="9"/>
      <w:r>
        <w:rPr>
          <w:rFonts w:hint="eastAsia" w:ascii="Arial" w:hAnsi="Arial" w:eastAsia="宋体" w:cs="Arial"/>
          <w:b/>
          <w:color w:val="auto"/>
          <w:sz w:val="24"/>
          <w:szCs w:val="24"/>
          <w:lang w:val="en-US" w:eastAsia="zh-CN"/>
        </w:rPr>
        <w:t>0</w:t>
      </w:r>
    </w:p>
    <w:p w14:paraId="673CA509">
      <w:pPr>
        <w:pStyle w:val="37"/>
        <w:tabs>
          <w:tab w:val="right" w:pos="9781"/>
          <w:tab w:val="right" w:pos="13323"/>
        </w:tabs>
        <w:spacing w:before="60" w:after="60"/>
        <w:outlineLvl w:val="0"/>
        <w:rPr>
          <w:rFonts w:eastAsia="宋体" w:cs="Arial"/>
          <w:color w:val="auto"/>
          <w:sz w:val="24"/>
          <w:szCs w:val="24"/>
          <w:highlight w:val="green"/>
          <w:lang w:eastAsia="zh-CN"/>
        </w:rPr>
      </w:pPr>
      <w:r>
        <w:rPr>
          <w:rFonts w:hint="eastAsia" w:cs="Arial"/>
          <w:color w:val="auto"/>
          <w:sz w:val="24"/>
          <w:szCs w:val="24"/>
          <w:lang w:val="en-US" w:eastAsia="zh-CN"/>
        </w:rPr>
        <w:t>Wuhan</w:t>
      </w:r>
      <w:r>
        <w:rPr>
          <w:rFonts w:cs="Arial"/>
          <w:color w:val="auto"/>
          <w:sz w:val="24"/>
          <w:szCs w:val="24"/>
          <w:lang w:eastAsia="zh-CN"/>
        </w:rPr>
        <w:t xml:space="preserve">, </w:t>
      </w:r>
      <w:r>
        <w:rPr>
          <w:rFonts w:hint="eastAsia" w:cs="Arial"/>
          <w:color w:val="auto"/>
          <w:sz w:val="24"/>
          <w:szCs w:val="24"/>
          <w:lang w:val="en-US" w:eastAsia="zh-CN"/>
        </w:rPr>
        <w:t>China</w:t>
      </w:r>
      <w:r>
        <w:rPr>
          <w:rFonts w:cs="Arial"/>
          <w:color w:val="auto"/>
          <w:sz w:val="24"/>
          <w:szCs w:val="24"/>
          <w:lang w:eastAsia="zh-CN"/>
        </w:rPr>
        <w:t>, 7</w:t>
      </w:r>
      <w:r>
        <w:rPr>
          <w:rFonts w:cs="Arial"/>
          <w:color w:val="auto"/>
          <w:sz w:val="24"/>
          <w:szCs w:val="24"/>
          <w:vertAlign w:val="superscript"/>
          <w:lang w:eastAsia="zh-CN"/>
        </w:rPr>
        <w:t>th</w:t>
      </w:r>
      <w:r>
        <w:rPr>
          <w:rFonts w:cs="Arial"/>
          <w:color w:val="auto"/>
          <w:sz w:val="24"/>
          <w:szCs w:val="24"/>
          <w:lang w:eastAsia="zh-CN"/>
        </w:rPr>
        <w:t xml:space="preserve"> – </w:t>
      </w:r>
      <w:r>
        <w:rPr>
          <w:rFonts w:hint="eastAsia" w:cs="Arial"/>
          <w:color w:val="auto"/>
          <w:sz w:val="24"/>
          <w:szCs w:val="24"/>
          <w:lang w:val="en-US" w:eastAsia="zh-CN"/>
        </w:rPr>
        <w:t>1</w:t>
      </w:r>
      <w:r>
        <w:rPr>
          <w:rFonts w:cs="Arial"/>
          <w:color w:val="auto"/>
          <w:sz w:val="24"/>
          <w:szCs w:val="24"/>
          <w:lang w:eastAsia="zh-CN"/>
        </w:rPr>
        <w:t>1</w:t>
      </w:r>
      <w:r>
        <w:rPr>
          <w:rFonts w:cs="Arial"/>
          <w:color w:val="auto"/>
          <w:sz w:val="24"/>
          <w:szCs w:val="24"/>
          <w:vertAlign w:val="superscript"/>
          <w:lang w:eastAsia="zh-CN"/>
        </w:rPr>
        <w:t>t</w:t>
      </w:r>
      <w:r>
        <w:rPr>
          <w:rFonts w:hint="eastAsia" w:cs="Arial"/>
          <w:color w:val="auto"/>
          <w:sz w:val="24"/>
          <w:szCs w:val="24"/>
          <w:vertAlign w:val="superscript"/>
          <w:lang w:val="en-US" w:eastAsia="zh-CN"/>
        </w:rPr>
        <w:t>h</w:t>
      </w:r>
      <w:r>
        <w:rPr>
          <w:rFonts w:cs="Arial"/>
          <w:color w:val="auto"/>
          <w:sz w:val="24"/>
          <w:szCs w:val="24"/>
          <w:lang w:eastAsia="zh-CN"/>
        </w:rPr>
        <w:t xml:space="preserve"> </w:t>
      </w:r>
      <w:r>
        <w:rPr>
          <w:rFonts w:hint="eastAsia" w:cs="Arial"/>
          <w:color w:val="auto"/>
          <w:sz w:val="24"/>
          <w:szCs w:val="24"/>
          <w:lang w:val="en-US" w:eastAsia="zh-CN"/>
        </w:rPr>
        <w:t>April</w:t>
      </w:r>
      <w:r>
        <w:rPr>
          <w:rFonts w:cs="Arial"/>
          <w:color w:val="auto"/>
          <w:sz w:val="24"/>
          <w:szCs w:val="24"/>
          <w:lang w:eastAsia="zh-CN"/>
        </w:rPr>
        <w:t>, 2025</w:t>
      </w:r>
    </w:p>
    <w:p w14:paraId="6DE4AA74">
      <w:pPr>
        <w:tabs>
          <w:tab w:val="right" w:pos="10440"/>
          <w:tab w:val="right" w:pos="13323"/>
        </w:tabs>
        <w:spacing w:after="240" w:afterLines="100"/>
        <w:rPr>
          <w:rFonts w:ascii="Arial" w:hAnsi="Arial" w:cs="Arial"/>
          <w:b/>
          <w:color w:val="auto"/>
          <w:sz w:val="24"/>
          <w:szCs w:val="24"/>
          <w:lang w:val="en-US" w:eastAsia="zh-CN"/>
        </w:rPr>
      </w:pPr>
    </w:p>
    <w:p w14:paraId="42DC7E18">
      <w:pPr>
        <w:tabs>
          <w:tab w:val="left" w:pos="1985"/>
        </w:tabs>
        <w:jc w:val="both"/>
        <w:rPr>
          <w:rFonts w:hint="default" w:ascii="Arial" w:hAnsi="Arial" w:cs="Arial"/>
          <w:b/>
          <w:color w:val="auto"/>
          <w:sz w:val="22"/>
          <w:lang w:val="en-US" w:eastAsia="zh-CN"/>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color w:val="auto"/>
          <w:sz w:val="22"/>
          <w:lang w:val="en-US" w:eastAsia="zh-CN"/>
        </w:rPr>
        <w:t>WF on NR_ATG_enh demodulation requirement</w:t>
      </w:r>
    </w:p>
    <w:p w14:paraId="21F6F9CE">
      <w:pPr>
        <w:tabs>
          <w:tab w:val="left" w:pos="1985"/>
        </w:tabs>
        <w:jc w:val="both"/>
        <w:rPr>
          <w:rFonts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7.12.7</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DL CA</w:t>
      </w:r>
    </w:p>
    <w:p w14:paraId="2E7330E5">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1-1-1: CA Capability</w:t>
      </w:r>
    </w:p>
    <w:p w14:paraId="2F0E41A7">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2B20FE0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CA_C</w:t>
      </w:r>
    </w:p>
    <w:p w14:paraId="6F6CF85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CA_AX</w:t>
      </w:r>
    </w:p>
    <w:p w14:paraId="63500352">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5C4AA213">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1-1-2: CA Duplex mode</w:t>
      </w:r>
    </w:p>
    <w:p w14:paraId="29424F2F">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49F0F46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sz w:val="20"/>
          <w:szCs w:val="20"/>
          <w:lang w:val="en-GB" w:eastAsia="en-US"/>
        </w:rPr>
      </w:pPr>
      <w:r>
        <w:rPr>
          <w:rFonts w:hint="default" w:ascii="Times New Roman" w:hAnsi="Times New Roman" w:eastAsia="宋体" w:cs="Times New Roman"/>
          <w:color w:val="auto"/>
          <w:sz w:val="20"/>
          <w:szCs w:val="20"/>
          <w:lang w:val="en-GB" w:eastAsia="en-US"/>
        </w:rPr>
        <w:t>TDD 30 kHz + TDD 30 kHz</w:t>
      </w:r>
    </w:p>
    <w:p w14:paraId="1998B80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FDD 15 kHz + TDD 30 kHz</w:t>
      </w:r>
    </w:p>
    <w:p w14:paraId="20B8895D">
      <w:pPr>
        <w:pageBreakBefore w:val="0"/>
        <w:widowControl/>
        <w:kinsoku/>
        <w:wordWrap/>
        <w:topLinePunct w:val="0"/>
        <w:bidi w:val="0"/>
        <w:snapToGrid/>
        <w:spacing w:before="60" w:after="60"/>
        <w:rPr>
          <w:rFonts w:hint="eastAsia"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highlight w:val="yellow"/>
          <w:lang w:val="en-US" w:eastAsia="zh-CN"/>
        </w:rPr>
        <w:t>FFS:</w:t>
      </w:r>
    </w:p>
    <w:p w14:paraId="3422F36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zh-CN"/>
        </w:rPr>
        <w:t>FDD 15 kHz + FDD 15 kHz</w:t>
      </w:r>
    </w:p>
    <w:p w14:paraId="48BDDB67">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66C0DD75">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 Test setups</w:t>
      </w:r>
    </w:p>
    <w:p w14:paraId="0D591868">
      <w:pPr>
        <w:pageBreakBefore w:val="0"/>
        <w:widowControl/>
        <w:kinsoku/>
        <w:wordWrap/>
        <w:topLinePunct w:val="0"/>
        <w:bidi w:val="0"/>
        <w:snapToGrid/>
        <w:spacing w:before="60" w:after="60"/>
        <w:rPr>
          <w:color w:val="auto"/>
        </w:rPr>
      </w:pPr>
      <w:bookmarkStart w:id="0" w:name="OLE_LINK6"/>
      <w:r>
        <w:rPr>
          <w:rFonts w:hint="eastAsia"/>
          <w:b/>
          <w:color w:val="auto"/>
          <w:u w:val="single"/>
          <w:lang w:val="en-US" w:eastAsia="zh-CN"/>
        </w:rPr>
        <w:t>Issue 1-1-3-1: TDD pattern</w:t>
      </w:r>
    </w:p>
    <w:p w14:paraId="3035D85E">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bookmarkEnd w:id="0"/>
    <w:p w14:paraId="6D3C441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bookmarkStart w:id="1" w:name="OLE_LINK7"/>
      <w:r>
        <w:rPr>
          <w:rFonts w:hint="eastAsia" w:ascii="Times New Roman" w:hAnsi="Times New Roman" w:eastAsia="宋体" w:cs="Times New Roman"/>
          <w:color w:val="auto"/>
          <w:sz w:val="20"/>
          <w:szCs w:val="20"/>
          <w:lang w:val="en-US" w:eastAsia="zh-CN"/>
        </w:rPr>
        <w:t xml:space="preserve">Use legacy TDD pattern 7DS2U </w:t>
      </w:r>
      <w:r>
        <w:rPr>
          <w:rFonts w:hint="eastAsia" w:eastAsia="宋体" w:cs="Times New Roman"/>
          <w:color w:val="auto"/>
          <w:sz w:val="20"/>
          <w:szCs w:val="20"/>
          <w:lang w:val="en-US" w:eastAsia="zh-CN"/>
        </w:rPr>
        <w:t>as the staring point</w:t>
      </w:r>
    </w:p>
    <w:p w14:paraId="0B85EC45">
      <w:pPr>
        <w:pageBreakBefore w:val="0"/>
        <w:widowControl/>
        <w:kinsoku/>
        <w:wordWrap/>
        <w:topLinePunct w:val="0"/>
        <w:bidi w:val="0"/>
        <w:snapToGrid/>
        <w:spacing w:before="60" w:after="60"/>
        <w:rPr>
          <w:rFonts w:hint="eastAsia" w:ascii="Times New Roman" w:hAnsi="Times New Roman" w:eastAsia="宋体" w:cs="Times New Roman"/>
          <w:color w:val="auto"/>
          <w:sz w:val="20"/>
          <w:szCs w:val="20"/>
          <w:lang w:val="en-US" w:eastAsia="zh-CN"/>
        </w:rPr>
      </w:pPr>
      <w:r>
        <w:rPr>
          <w:rFonts w:hint="eastAsia" w:eastAsia="宋体"/>
          <w:color w:val="auto"/>
          <w:highlight w:val="yellow"/>
          <w:lang w:val="en-US" w:eastAsia="zh-CN"/>
        </w:rPr>
        <w:t>FFS:</w:t>
      </w:r>
    </w:p>
    <w:p w14:paraId="34C428E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new TDD pattern 30D4S6U</w:t>
      </w:r>
    </w:p>
    <w:bookmarkEnd w:id="1"/>
    <w:p w14:paraId="28829375">
      <w:pPr>
        <w:pageBreakBefore w:val="0"/>
        <w:widowControl/>
        <w:kinsoku/>
        <w:wordWrap/>
        <w:topLinePunct w:val="0"/>
        <w:bidi w:val="0"/>
        <w:snapToGrid/>
        <w:spacing w:before="60" w:after="60"/>
        <w:rPr>
          <w:rFonts w:hint="eastAsia"/>
          <w:b/>
          <w:color w:val="auto"/>
          <w:u w:val="single"/>
          <w:lang w:val="en-US" w:eastAsia="zh-CN"/>
        </w:rPr>
      </w:pPr>
      <w:bookmarkStart w:id="2" w:name="OLE_LINK8"/>
    </w:p>
    <w:p w14:paraId="37A44B76">
      <w:pPr>
        <w:pageBreakBefore w:val="0"/>
        <w:widowControl/>
        <w:kinsoku/>
        <w:wordWrap/>
        <w:topLinePunct w:val="0"/>
        <w:bidi w:val="0"/>
        <w:snapToGrid/>
        <w:spacing w:before="60" w:after="60"/>
        <w:rPr>
          <w:color w:val="auto"/>
        </w:rPr>
      </w:pPr>
      <w:r>
        <w:rPr>
          <w:rFonts w:hint="eastAsia"/>
          <w:b/>
          <w:color w:val="auto"/>
          <w:u w:val="single"/>
          <w:lang w:val="en-US" w:eastAsia="zh-CN"/>
        </w:rPr>
        <w:t>Issue 1-1-3-2: Rank</w:t>
      </w:r>
    </w:p>
    <w:p w14:paraId="3ACCAA4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Proposal 1: Rank 2 </w:t>
      </w:r>
    </w:p>
    <w:p w14:paraId="7625BCA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Proposal 2: Rank 1</w:t>
      </w:r>
    </w:p>
    <w:bookmarkEnd w:id="2"/>
    <w:p w14:paraId="01578842">
      <w:pPr>
        <w:pageBreakBefore w:val="0"/>
        <w:widowControl/>
        <w:kinsoku/>
        <w:wordWrap/>
        <w:topLinePunct w:val="0"/>
        <w:bidi w:val="0"/>
        <w:snapToGrid/>
        <w:spacing w:before="60" w:after="60"/>
        <w:rPr>
          <w:rFonts w:hint="eastAsia"/>
          <w:b/>
          <w:color w:val="auto"/>
          <w:u w:val="single"/>
          <w:lang w:val="en-US" w:eastAsia="zh-CN"/>
        </w:rPr>
      </w:pPr>
      <w:bookmarkStart w:id="3" w:name="OLE_LINK10"/>
    </w:p>
    <w:p w14:paraId="3B6CA989">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1-1-3-3: MCS</w:t>
      </w:r>
    </w:p>
    <w:p w14:paraId="5AA4241A">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276A8C5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16QAM MCS 13, 64QAM MCS 22, 256QAM MCS 24 for initial simulation</w:t>
      </w:r>
    </w:p>
    <w:bookmarkEnd w:id="3"/>
    <w:p w14:paraId="586FD58F">
      <w:pPr>
        <w:pageBreakBefore w:val="0"/>
        <w:widowControl/>
        <w:kinsoku/>
        <w:wordWrap/>
        <w:topLinePunct w:val="0"/>
        <w:bidi w:val="0"/>
        <w:snapToGrid/>
        <w:spacing w:before="60" w:after="60"/>
        <w:rPr>
          <w:rFonts w:hint="eastAsia"/>
          <w:b/>
          <w:color w:val="auto"/>
          <w:u w:val="single"/>
          <w:lang w:val="en-US" w:eastAsia="zh-CN"/>
        </w:rPr>
      </w:pPr>
      <w:bookmarkStart w:id="4" w:name="OLE_LINK11"/>
    </w:p>
    <w:p w14:paraId="1EDF185A">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1-1-3-4: Propagation condition</w:t>
      </w:r>
    </w:p>
    <w:p w14:paraId="104EE8D2">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69BBED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A</w:t>
      </w:r>
      <w:r>
        <w:rPr>
          <w:rFonts w:hint="eastAsia" w:ascii="Times New Roman" w:hAnsi="Times New Roman" w:eastAsia="宋体" w:cs="Times New Roman"/>
          <w:color w:val="auto"/>
          <w:sz w:val="20"/>
          <w:szCs w:val="20"/>
          <w:lang w:val="en-US" w:eastAsia="zh-CN"/>
        </w:rPr>
        <w:t>WGN+220Hz for FDD 15kHz，AWGN+500Hz for TDD 30kHz</w:t>
      </w:r>
    </w:p>
    <w:bookmarkEnd w:id="4"/>
    <w:p w14:paraId="27408D27">
      <w:pPr>
        <w:pageBreakBefore w:val="0"/>
        <w:widowControl/>
        <w:kinsoku/>
        <w:wordWrap/>
        <w:topLinePunct w:val="0"/>
        <w:bidi w:val="0"/>
        <w:snapToGrid/>
        <w:spacing w:before="60" w:after="60"/>
        <w:rPr>
          <w:rFonts w:hint="eastAsia"/>
          <w:b/>
          <w:color w:val="auto"/>
          <w:u w:val="single"/>
          <w:lang w:val="en-US" w:eastAsia="zh-CN"/>
        </w:rPr>
      </w:pPr>
    </w:p>
    <w:p w14:paraId="1AD1424B">
      <w:pPr>
        <w:pageBreakBefore w:val="0"/>
        <w:widowControl/>
        <w:kinsoku/>
        <w:wordWrap/>
        <w:topLinePunct w:val="0"/>
        <w:bidi w:val="0"/>
        <w:snapToGrid/>
        <w:spacing w:before="60" w:after="60"/>
        <w:rPr>
          <w:color w:val="auto"/>
        </w:rPr>
      </w:pPr>
      <w:r>
        <w:rPr>
          <w:rFonts w:hint="eastAsia"/>
          <w:b/>
          <w:color w:val="auto"/>
          <w:u w:val="single"/>
          <w:lang w:val="en-US" w:eastAsia="zh-CN"/>
        </w:rPr>
        <w:t>Issue 1-1-3-5: Antenna configuration</w:t>
      </w:r>
    </w:p>
    <w:p w14:paraId="0991C55F">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3DFDCB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2T2R and 2T4R</w:t>
      </w:r>
    </w:p>
    <w:p w14:paraId="364EEB5D">
      <w:pPr>
        <w:pageBreakBefore w:val="0"/>
        <w:widowControl/>
        <w:kinsoku/>
        <w:wordWrap/>
        <w:topLinePunct w:val="0"/>
        <w:bidi w:val="0"/>
        <w:snapToGrid/>
        <w:spacing w:before="60" w:after="60"/>
        <w:rPr>
          <w:rFonts w:hint="eastAsia"/>
          <w:b/>
          <w:color w:val="auto"/>
          <w:u w:val="single"/>
          <w:lang w:val="en-US" w:eastAsia="zh-CN"/>
        </w:rPr>
      </w:pPr>
    </w:p>
    <w:p w14:paraId="63AC8F68">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1-1-3-6: Test metric</w:t>
      </w:r>
    </w:p>
    <w:p w14:paraId="6196D570">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6F7BAA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70% of max TP</w:t>
      </w:r>
    </w:p>
    <w:p w14:paraId="50ED07D9">
      <w:pPr>
        <w:pageBreakBefore w:val="0"/>
        <w:widowControl/>
        <w:kinsoku/>
        <w:wordWrap/>
        <w:topLinePunct w:val="0"/>
        <w:bidi w:val="0"/>
        <w:snapToGrid/>
        <w:spacing w:before="60" w:after="60"/>
        <w:rPr>
          <w:rFonts w:hint="eastAsia"/>
          <w:b/>
          <w:color w:val="auto"/>
          <w:u w:val="single"/>
          <w:lang w:val="en-US" w:eastAsia="zh-CN"/>
        </w:rPr>
      </w:pPr>
    </w:p>
    <w:p w14:paraId="6B396668">
      <w:pPr>
        <w:pageBreakBefore w:val="0"/>
        <w:widowControl/>
        <w:kinsoku/>
        <w:wordWrap/>
        <w:topLinePunct w:val="0"/>
        <w:bidi w:val="0"/>
        <w:snapToGrid/>
        <w:spacing w:before="60" w:after="60"/>
        <w:rPr>
          <w:color w:val="auto"/>
        </w:rPr>
      </w:pPr>
      <w:r>
        <w:rPr>
          <w:rFonts w:hint="eastAsia"/>
          <w:b/>
          <w:color w:val="auto"/>
          <w:u w:val="single"/>
          <w:lang w:val="en-US" w:eastAsia="zh-CN"/>
        </w:rPr>
        <w:t>Issue 1-1-3-7: Bandwidth</w:t>
      </w:r>
    </w:p>
    <w:p w14:paraId="156CB384">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46A710E0">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all bandwidth configuration for FDD 15kHz and TDD 30kHz</w:t>
      </w:r>
    </w:p>
    <w:p w14:paraId="345A52A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Single carrier requirements for each of the considered bandwidth sizes in the bandwidth combination sets shall then be specified.</w:t>
      </w:r>
    </w:p>
    <w:p w14:paraId="01281676">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s="Times New Roman"/>
          <w:color w:val="auto"/>
          <w:sz w:val="20"/>
          <w:szCs w:val="20"/>
          <w:lang w:val="en-US" w:eastAsia="zh-CN"/>
        </w:rPr>
      </w:pPr>
      <w:r>
        <w:rPr>
          <w:rFonts w:hint="eastAsia" w:eastAsia="宋体" w:cs="Times New Roman"/>
          <w:color w:val="auto"/>
          <w:sz w:val="20"/>
          <w:szCs w:val="20"/>
          <w:highlight w:val="yellow"/>
          <w:lang w:val="en-US" w:eastAsia="zh-CN"/>
        </w:rPr>
        <w:t>FFS:</w:t>
      </w:r>
      <w:r>
        <w:rPr>
          <w:rFonts w:hint="eastAsia" w:eastAsia="宋体" w:cs="Times New Roman"/>
          <w:color w:val="auto"/>
          <w:sz w:val="20"/>
          <w:szCs w:val="20"/>
          <w:lang w:val="en-US" w:eastAsia="zh-CN"/>
        </w:rPr>
        <w:t xml:space="preserve"> </w:t>
      </w:r>
    </w:p>
    <w:p w14:paraId="2598778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RAN4 to clarify the bandwidth combination sets for the FR1 intra-band contiguous CA in CA_n79C and for FR1+FR1 inter-band CA in CA_n3A-n39A.</w:t>
      </w:r>
    </w:p>
    <w:p w14:paraId="2008FAF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color w:val="auto"/>
          <w:sz w:val="20"/>
          <w:szCs w:val="20"/>
          <w:lang w:val="en-US" w:eastAsia="zh-CN"/>
        </w:rPr>
      </w:pPr>
    </w:p>
    <w:p w14:paraId="0471976D">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1-1-3-8: Others</w:t>
      </w:r>
    </w:p>
    <w:p w14:paraId="7A8A9765">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0BA9AF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the other test parameters, the configuration in Table 5.2A-1/2/3 in TS 38.101-4 can be reused</w:t>
      </w:r>
    </w:p>
    <w:p w14:paraId="2CDA2B2C">
      <w:pPr>
        <w:pStyle w:val="31"/>
        <w:pageBreakBefore w:val="0"/>
        <w:widowControl/>
        <w:numPr>
          <w:ilvl w:val="0"/>
          <w:numId w:val="0"/>
        </w:numPr>
        <w:kinsoku/>
        <w:wordWrap/>
        <w:topLinePunct w:val="0"/>
        <w:bidi w:val="0"/>
        <w:snapToGrid/>
        <w:spacing w:before="60" w:after="60"/>
        <w:ind w:leftChars="0"/>
        <w:rPr>
          <w:rFonts w:hint="eastAsia"/>
          <w:b/>
          <w:bCs/>
          <w:color w:val="auto"/>
          <w:lang w:val="en-US" w:eastAsia="zh-CN"/>
        </w:rPr>
      </w:pPr>
    </w:p>
    <w:p w14:paraId="2693CA88">
      <w:pPr>
        <w:pStyle w:val="31"/>
        <w:pageBreakBefore w:val="0"/>
        <w:widowControl/>
        <w:numPr>
          <w:ilvl w:val="0"/>
          <w:numId w:val="0"/>
        </w:numPr>
        <w:kinsoku/>
        <w:wordWrap/>
        <w:topLinePunct w:val="0"/>
        <w:bidi w:val="0"/>
        <w:snapToGrid/>
        <w:spacing w:before="60" w:after="60"/>
        <w:ind w:leftChars="0"/>
        <w:rPr>
          <w:rFonts w:hint="eastAsia"/>
          <w:b/>
          <w:color w:val="auto"/>
          <w:u w:val="single"/>
          <w:lang w:val="en-US" w:eastAsia="zh-CN"/>
        </w:rPr>
      </w:pPr>
      <w:r>
        <w:rPr>
          <w:rFonts w:hint="eastAsia"/>
          <w:b/>
          <w:color w:val="auto"/>
          <w:u w:val="single"/>
          <w:lang w:val="en-US" w:eastAsia="zh-CN"/>
        </w:rPr>
        <w:t>Issue 1-1-4: CA configuration selection rules</w:t>
      </w:r>
    </w:p>
    <w:p w14:paraId="3E161FC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Proposal 1: </w:t>
      </w:r>
    </w:p>
    <w:p w14:paraId="0F1C56E1">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color w:val="auto"/>
          <w:szCs w:val="24"/>
          <w:lang w:val="en-US" w:eastAsia="zh-CN"/>
        </w:rPr>
      </w:pPr>
      <w:r>
        <w:rPr>
          <w:rFonts w:hint="eastAsia" w:ascii="Times New Roman" w:hAnsi="Times New Roman" w:cs="Times New Roman"/>
          <w:b w:val="0"/>
          <w:bCs w:val="0"/>
          <w:i w:val="0"/>
          <w:iCs w:val="0"/>
          <w:color w:val="auto"/>
          <w:sz w:val="20"/>
          <w:szCs w:val="20"/>
          <w:lang w:val="en-US" w:eastAsia="zh-CN"/>
        </w:rPr>
        <w:t>Define the CA configuration selection rules as</w:t>
      </w:r>
    </w:p>
    <w:tbl>
      <w:tblPr>
        <w:tblStyle w:val="4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72DC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364FC5A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en-US" w:bidi="ar-SA"/>
              </w:rPr>
            </w:pPr>
            <w:r>
              <w:rPr>
                <w:rFonts w:hint="default" w:ascii="Times New Roman" w:hAnsi="Times New Roman" w:eastAsia="等线" w:cs="Times New Roman"/>
                <w:b/>
                <w:color w:val="auto"/>
                <w:sz w:val="18"/>
                <w:lang w:val="en-GB" w:eastAsia="en-US" w:bidi="ar-SA"/>
              </w:rPr>
              <w:t>CA capability</w:t>
            </w:r>
          </w:p>
        </w:tc>
        <w:tc>
          <w:tcPr>
            <w:tcW w:w="2007" w:type="dxa"/>
            <w:vAlign w:val="center"/>
          </w:tcPr>
          <w:p w14:paraId="5489541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1</w:t>
            </w:r>
          </w:p>
        </w:tc>
        <w:tc>
          <w:tcPr>
            <w:tcW w:w="2007" w:type="dxa"/>
            <w:shd w:val="clear" w:color="auto" w:fill="auto"/>
            <w:vAlign w:val="center"/>
          </w:tcPr>
          <w:p w14:paraId="5C2014A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2</w:t>
            </w:r>
          </w:p>
        </w:tc>
        <w:tc>
          <w:tcPr>
            <w:tcW w:w="2007" w:type="dxa"/>
            <w:shd w:val="clear" w:color="auto" w:fill="auto"/>
            <w:vAlign w:val="center"/>
          </w:tcPr>
          <w:p w14:paraId="64EB7ED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3</w:t>
            </w:r>
          </w:p>
        </w:tc>
        <w:tc>
          <w:tcPr>
            <w:tcW w:w="2008" w:type="dxa"/>
            <w:vAlign w:val="center"/>
          </w:tcPr>
          <w:p w14:paraId="4C6B4B4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4</w:t>
            </w:r>
          </w:p>
        </w:tc>
      </w:tr>
      <w:tr w14:paraId="4595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04156A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bookmarkStart w:id="5" w:name="OLE_LINK36" w:colFirst="1" w:colLast="4"/>
            <w:r>
              <w:rPr>
                <w:rFonts w:hint="default" w:ascii="Times New Roman" w:hAnsi="Times New Roman" w:eastAsia="等线" w:cs="Times New Roman"/>
                <w:color w:val="auto"/>
                <w:sz w:val="18"/>
                <w:lang w:val="en-GB" w:eastAsia="en-US" w:bidi="ar-SA"/>
              </w:rPr>
              <w:t>CA_C</w:t>
            </w:r>
          </w:p>
        </w:tc>
        <w:tc>
          <w:tcPr>
            <w:tcW w:w="2007" w:type="dxa"/>
          </w:tcPr>
          <w:p w14:paraId="4713DEF3">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bookmarkStart w:id="6" w:name="OLE_LINK37"/>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bookmarkEnd w:id="6"/>
          </w:p>
        </w:tc>
        <w:tc>
          <w:tcPr>
            <w:tcW w:w="2007" w:type="dxa"/>
            <w:shd w:val="clear" w:color="auto" w:fill="auto"/>
          </w:tcPr>
          <w:p w14:paraId="6E092AB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D7C225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c>
          <w:tcPr>
            <w:tcW w:w="2008" w:type="dxa"/>
          </w:tcPr>
          <w:p w14:paraId="4FFBBB0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r>
      <w:tr w14:paraId="4F5E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2B22236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r>
              <w:rPr>
                <w:rFonts w:hint="default" w:ascii="Times New Roman" w:hAnsi="Times New Roman" w:eastAsia="等线" w:cs="Times New Roman"/>
                <w:color w:val="auto"/>
                <w:sz w:val="18"/>
                <w:lang w:val="en-GB" w:eastAsia="en-US" w:bidi="ar-SA"/>
              </w:rPr>
              <w:t>CA_AX</w:t>
            </w:r>
          </w:p>
        </w:tc>
        <w:tc>
          <w:tcPr>
            <w:tcW w:w="2007" w:type="dxa"/>
          </w:tcPr>
          <w:p w14:paraId="518EF96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bookmarkStart w:id="7" w:name="OLE_LINK39"/>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bookmarkEnd w:id="7"/>
          </w:p>
        </w:tc>
        <w:tc>
          <w:tcPr>
            <w:tcW w:w="2007" w:type="dxa"/>
            <w:shd w:val="clear" w:color="auto" w:fill="auto"/>
          </w:tcPr>
          <w:p w14:paraId="090F7CA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154893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 xml:space="preserve">elect the CA configurations with the largest number of bands and with the maximum number of CCs, for which the supported maximum number of MIMO layers is </w:t>
            </w:r>
            <w:bookmarkStart w:id="8" w:name="OLE_LINK41"/>
            <w:r>
              <w:rPr>
                <w:rFonts w:hint="default" w:ascii="Times New Roman" w:hAnsi="Times New Roman" w:eastAsia="等线" w:cs="Times New Roman"/>
                <w:color w:val="auto"/>
                <w:sz w:val="18"/>
                <w:lang w:val="en-GB" w:eastAsia="en-US" w:bidi="ar-SA"/>
              </w:rPr>
              <w:t xml:space="preserve">not lower than </w:t>
            </w:r>
            <w:bookmarkEnd w:id="8"/>
            <w:r>
              <w:rPr>
                <w:rFonts w:hint="default" w:ascii="Times New Roman" w:hAnsi="Times New Roman" w:eastAsia="等线" w:cs="Times New Roman"/>
                <w:color w:val="auto"/>
                <w:sz w:val="18"/>
                <w:lang w:val="en-GB" w:eastAsia="en-US" w:bidi="ar-SA"/>
              </w:rPr>
              <w:t>2.</w:t>
            </w:r>
          </w:p>
        </w:tc>
        <w:tc>
          <w:tcPr>
            <w:tcW w:w="2008" w:type="dxa"/>
          </w:tcPr>
          <w:p w14:paraId="158340F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bookmarkEnd w:id="5"/>
    </w:tbl>
    <w:p w14:paraId="66FBA298">
      <w:pPr>
        <w:pageBreakBefore w:val="0"/>
        <w:widowControl/>
        <w:numPr>
          <w:ilvl w:val="0"/>
          <w:numId w:val="0"/>
        </w:numPr>
        <w:kinsoku/>
        <w:wordWrap/>
        <w:topLinePunct w:val="0"/>
        <w:bidi w:val="0"/>
        <w:snapToGrid/>
        <w:spacing w:before="60" w:after="60"/>
        <w:rPr>
          <w:rFonts w:hint="eastAsia" w:eastAsia="宋体"/>
          <w:color w:val="auto"/>
          <w:lang w:val="en-US" w:eastAsia="zh-CN"/>
        </w:rPr>
      </w:pPr>
    </w:p>
    <w:p w14:paraId="71CF05DC">
      <w:pPr>
        <w:pageBreakBefore w:val="0"/>
        <w:widowControl/>
        <w:numPr>
          <w:ilvl w:val="0"/>
          <w:numId w:val="0"/>
        </w:numPr>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1-1-5: Test applicability rules</w:t>
      </w:r>
    </w:p>
    <w:p w14:paraId="5B13C2F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Proposal 1: </w:t>
      </w:r>
    </w:p>
    <w:p w14:paraId="758682D9">
      <w:pPr>
        <w:pStyle w:val="73"/>
        <w:pageBreakBefore w:val="0"/>
        <w:widowControl/>
        <w:numPr>
          <w:ilvl w:val="1"/>
          <w:numId w:val="1"/>
        </w:numPr>
        <w:kinsoku/>
        <w:wordWrap/>
        <w:overflowPunct/>
        <w:topLinePunct w:val="0"/>
        <w:autoSpaceDE/>
        <w:autoSpaceDN/>
        <w:bidi w:val="0"/>
        <w:adjustRightInd/>
        <w:snapToGrid/>
        <w:spacing w:before="60" w:after="6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Define the test rules as: </w:t>
      </w:r>
    </w:p>
    <w:tbl>
      <w:tblPr>
        <w:tblStyle w:val="45"/>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36BD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7B26F8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Tests</w:t>
            </w:r>
          </w:p>
        </w:tc>
        <w:tc>
          <w:tcPr>
            <w:tcW w:w="1487" w:type="dxa"/>
          </w:tcPr>
          <w:p w14:paraId="3634721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 xml:space="preserve">CA capability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338" w:type="dxa"/>
            <w:shd w:val="clear" w:color="auto" w:fill="auto"/>
          </w:tcPr>
          <w:p w14:paraId="566CDDC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CA configuration</w:t>
            </w:r>
            <w:r>
              <w:rPr>
                <w:rFonts w:hint="default" w:ascii="Times New Roman" w:hAnsi="Times New Roman" w:eastAsia="等线" w:cs="Times New Roman"/>
                <w:b w:val="0"/>
                <w:bCs w:val="0"/>
                <w:i w:val="0"/>
                <w:iCs w:val="0"/>
                <w:color w:val="auto"/>
                <w:sz w:val="18"/>
                <w:lang w:val="en-GB" w:eastAsia="zh-CN" w:bidi="ar-SA"/>
              </w:rPr>
              <w:t xml:space="preserve"> from the selected CA capability</w:t>
            </w:r>
            <w:r>
              <w:rPr>
                <w:rFonts w:hint="default" w:ascii="Times New Roman" w:hAnsi="Times New Roman" w:eastAsia="等线" w:cs="Times New Roman"/>
                <w:b w:val="0"/>
                <w:bCs w:val="0"/>
                <w:i w:val="0"/>
                <w:iCs w:val="0"/>
                <w:color w:val="auto"/>
                <w:sz w:val="18"/>
                <w:lang w:val="en-GB" w:eastAsia="en-US" w:bidi="ar-SA"/>
              </w:rPr>
              <w:t xml:space="preserve">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138" w:type="dxa"/>
            <w:shd w:val="clear" w:color="auto" w:fill="auto"/>
          </w:tcPr>
          <w:p w14:paraId="5831AC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CA B</w:t>
            </w:r>
            <w:r>
              <w:rPr>
                <w:rFonts w:hint="default" w:ascii="Times New Roman" w:hAnsi="Times New Roman" w:eastAsia="等线" w:cs="Times New Roman"/>
                <w:b w:val="0"/>
                <w:bCs w:val="0"/>
                <w:i w:val="0"/>
                <w:iCs w:val="0"/>
                <w:color w:val="auto"/>
                <w:sz w:val="18"/>
                <w:lang w:val="en-GB" w:eastAsia="en-US" w:bidi="ar-SA"/>
              </w:rPr>
              <w:t xml:space="preserve">andwidth combination to be tested in </w:t>
            </w:r>
            <w:r>
              <w:rPr>
                <w:rFonts w:hint="default" w:ascii="Times New Roman" w:hAnsi="Times New Roman" w:eastAsia="等线" w:cs="Times New Roman"/>
                <w:b w:val="0"/>
                <w:bCs w:val="0"/>
                <w:i w:val="0"/>
                <w:iCs w:val="0"/>
                <w:color w:val="auto"/>
                <w:sz w:val="18"/>
                <w:lang w:val="en-GB" w:eastAsia="zh-CN" w:bidi="ar-SA"/>
              </w:rPr>
              <w:t xml:space="preserve">priority </w:t>
            </w:r>
            <w:r>
              <w:rPr>
                <w:rFonts w:hint="default" w:ascii="Times New Roman" w:hAnsi="Times New Roman" w:eastAsia="等线" w:cs="Times New Roman"/>
                <w:b w:val="0"/>
                <w:bCs w:val="0"/>
                <w:i w:val="0"/>
                <w:iCs w:val="0"/>
                <w:color w:val="auto"/>
                <w:sz w:val="18"/>
                <w:lang w:val="en-GB" w:eastAsia="en-US" w:bidi="ar-SA"/>
              </w:rPr>
              <w:t>order</w:t>
            </w:r>
          </w:p>
        </w:tc>
        <w:tc>
          <w:tcPr>
            <w:tcW w:w="2065" w:type="dxa"/>
          </w:tcPr>
          <w:p w14:paraId="221B69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PCell CC configuration</w:t>
            </w:r>
          </w:p>
        </w:tc>
      </w:tr>
      <w:tr w14:paraId="3615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7B555DD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FDD 15 kHz</w:t>
            </w:r>
          </w:p>
        </w:tc>
        <w:tc>
          <w:tcPr>
            <w:tcW w:w="1487" w:type="dxa"/>
          </w:tcPr>
          <w:p w14:paraId="43C1655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7B39797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6ECFC7C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4CCFC96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22C2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5FF1E1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TDD 30 kHz + TDD 30 kHz</w:t>
            </w:r>
          </w:p>
        </w:tc>
        <w:tc>
          <w:tcPr>
            <w:tcW w:w="1487" w:type="dxa"/>
          </w:tcPr>
          <w:p w14:paraId="571423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5F15DE4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626A31E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44299C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2D48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D5EC3A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US"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TDD 30 kH</w:t>
            </w:r>
            <w:r>
              <w:rPr>
                <w:rFonts w:hint="default" w:ascii="Times New Roman" w:hAnsi="Times New Roman" w:eastAsia="等线" w:cs="Times New Roman"/>
                <w:b w:val="0"/>
                <w:bCs w:val="0"/>
                <w:i w:val="0"/>
                <w:iCs w:val="0"/>
                <w:color w:val="auto"/>
                <w:sz w:val="18"/>
                <w:szCs w:val="24"/>
                <w:lang w:val="en-US" w:eastAsia="zh-CN" w:bidi="ar-SA"/>
              </w:rPr>
              <w:t>z</w:t>
            </w:r>
          </w:p>
        </w:tc>
        <w:tc>
          <w:tcPr>
            <w:tcW w:w="1487" w:type="dxa"/>
          </w:tcPr>
          <w:p w14:paraId="247E20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CA_AX</w:t>
            </w:r>
          </w:p>
        </w:tc>
        <w:tc>
          <w:tcPr>
            <w:tcW w:w="2338" w:type="dxa"/>
            <w:shd w:val="clear" w:color="auto" w:fill="auto"/>
            <w:vAlign w:val="top"/>
          </w:tcPr>
          <w:p w14:paraId="36F651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72571D5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6C8C6B1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US" w:eastAsia="zh-CN" w:bidi="ar-SA"/>
              </w:rPr>
              <w:t>F</w:t>
            </w:r>
            <w:r>
              <w:rPr>
                <w:rFonts w:hint="default" w:ascii="Times New Roman" w:hAnsi="Times New Roman" w:eastAsia="等线" w:cs="Times New Roman"/>
                <w:b w:val="0"/>
                <w:bCs w:val="0"/>
                <w:i w:val="0"/>
                <w:iCs w:val="0"/>
                <w:color w:val="auto"/>
                <w:sz w:val="18"/>
                <w:lang w:val="en-GB" w:eastAsia="en-US" w:bidi="ar-SA"/>
              </w:rPr>
              <w:t xml:space="preserve">DD CC if supported, otherwise </w:t>
            </w:r>
            <w:r>
              <w:rPr>
                <w:rFonts w:hint="default" w:ascii="Times New Roman" w:hAnsi="Times New Roman" w:eastAsia="等线" w:cs="Times New Roman"/>
                <w:b w:val="0"/>
                <w:bCs w:val="0"/>
                <w:i w:val="0"/>
                <w:iCs w:val="0"/>
                <w:color w:val="auto"/>
                <w:sz w:val="18"/>
                <w:lang w:val="en-US" w:eastAsia="zh-CN" w:bidi="ar-SA"/>
              </w:rPr>
              <w:t>T</w:t>
            </w:r>
            <w:r>
              <w:rPr>
                <w:rFonts w:hint="default" w:ascii="Times New Roman" w:hAnsi="Times New Roman" w:eastAsia="等线" w:cs="Times New Roman"/>
                <w:b w:val="0"/>
                <w:bCs w:val="0"/>
                <w:i w:val="0"/>
                <w:iCs w:val="0"/>
                <w:color w:val="auto"/>
                <w:sz w:val="18"/>
                <w:lang w:val="en-GB" w:eastAsia="en-US" w:bidi="ar-SA"/>
              </w:rPr>
              <w:t>DD CC</w:t>
            </w:r>
          </w:p>
        </w:tc>
      </w:tr>
    </w:tbl>
    <w:p w14:paraId="4215275E">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06261C89">
      <w:pPr>
        <w:pStyle w:val="2"/>
        <w:rPr>
          <w:rFonts w:hint="default"/>
          <w:color w:val="auto"/>
          <w:lang w:val="en-US" w:eastAsia="zh-CN"/>
        </w:rPr>
      </w:pPr>
      <w:r>
        <w:rPr>
          <w:rFonts w:hint="default"/>
          <w:color w:val="auto"/>
        </w:rPr>
        <w:t xml:space="preserve">&lt;Topic </w:t>
      </w:r>
      <w:r>
        <w:rPr>
          <w:rFonts w:hint="default"/>
          <w:color w:val="auto"/>
          <w:lang w:val="en-US" w:eastAsia="zh-CN"/>
        </w:rPr>
        <w:t>2</w:t>
      </w:r>
      <w:r>
        <w:rPr>
          <w:rFonts w:hint="default"/>
          <w:color w:val="auto"/>
        </w:rPr>
        <w:t>&gt;</w:t>
      </w:r>
      <w:r>
        <w:rPr>
          <w:rFonts w:hint="default"/>
          <w:color w:val="auto"/>
          <w:lang w:val="en-US" w:eastAsia="zh-CN"/>
        </w:rPr>
        <w:t xml:space="preserve"> </w:t>
      </w:r>
      <w:r>
        <w:rPr>
          <w:rFonts w:hint="eastAsia"/>
          <w:color w:val="auto"/>
          <w:lang w:val="en-US" w:eastAsia="zh-CN"/>
        </w:rPr>
        <w:t>DL MIMO</w:t>
      </w:r>
    </w:p>
    <w:p w14:paraId="73B18FFF">
      <w:pPr>
        <w:rPr>
          <w:rFonts w:hint="eastAsia"/>
          <w:b/>
          <w:color w:val="auto"/>
          <w:u w:val="single"/>
          <w:lang w:val="en-US" w:eastAsia="zh-CN"/>
        </w:rPr>
      </w:pPr>
      <w:r>
        <w:rPr>
          <w:rFonts w:hint="eastAsia"/>
          <w:b/>
          <w:color w:val="auto"/>
          <w:u w:val="single"/>
          <w:lang w:val="en-US" w:eastAsia="zh-CN"/>
        </w:rPr>
        <w:t>Issue 2-1-1: Antenna configuration</w:t>
      </w:r>
    </w:p>
    <w:p w14:paraId="4AD79E04">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1206DE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2T2R and 2T4R</w:t>
      </w:r>
    </w:p>
    <w:p w14:paraId="665F35F9">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yellow"/>
          <w:lang w:val="en-US" w:eastAsia="zh-CN"/>
        </w:rPr>
      </w:pPr>
      <w:r>
        <w:rPr>
          <w:rFonts w:hint="eastAsia" w:eastAsia="宋体" w:cs="Times New Roman"/>
          <w:color w:val="auto"/>
          <w:sz w:val="20"/>
          <w:szCs w:val="20"/>
          <w:highlight w:val="yellow"/>
          <w:lang w:val="en-US" w:eastAsia="zh-CN"/>
        </w:rPr>
        <w:t xml:space="preserve">FFS the antenna correlation: </w:t>
      </w:r>
    </w:p>
    <w:p w14:paraId="5A61EBF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Proposal 1: XP-low</w:t>
      </w:r>
    </w:p>
    <w:p w14:paraId="10F11AEF">
      <w:pPr>
        <w:rPr>
          <w:rFonts w:hint="eastAsia"/>
          <w:b/>
          <w:color w:val="auto"/>
          <w:u w:val="single"/>
          <w:lang w:val="en-US" w:eastAsia="zh-CN"/>
        </w:rPr>
      </w:pPr>
    </w:p>
    <w:p w14:paraId="21D06719">
      <w:pPr>
        <w:rPr>
          <w:rFonts w:hint="eastAsia"/>
          <w:b/>
          <w:color w:val="auto"/>
          <w:u w:val="single"/>
          <w:lang w:val="en-US" w:eastAsia="zh-CN"/>
        </w:rPr>
      </w:pPr>
      <w:r>
        <w:rPr>
          <w:rFonts w:hint="eastAsia"/>
          <w:b/>
          <w:color w:val="auto"/>
          <w:u w:val="single"/>
          <w:lang w:val="en-US" w:eastAsia="zh-CN"/>
        </w:rPr>
        <w:t>Issue 2-1-2: TDD pattern</w:t>
      </w:r>
    </w:p>
    <w:p w14:paraId="0E0A7370">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425A80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Use legacy TDD pattern 7DS2U </w:t>
      </w:r>
      <w:r>
        <w:rPr>
          <w:rFonts w:hint="eastAsia" w:eastAsia="宋体" w:cs="Times New Roman"/>
          <w:color w:val="auto"/>
          <w:sz w:val="20"/>
          <w:szCs w:val="20"/>
          <w:lang w:val="en-US" w:eastAsia="zh-CN"/>
        </w:rPr>
        <w:t>as the staring point</w:t>
      </w:r>
    </w:p>
    <w:p w14:paraId="76881B4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FFS whether the new TDD pattern 30D4S6U will be used</w:t>
      </w:r>
    </w:p>
    <w:p w14:paraId="436FCB6E">
      <w:pPr>
        <w:rPr>
          <w:rFonts w:hint="eastAsia"/>
          <w:b/>
          <w:color w:val="auto"/>
          <w:u w:val="single"/>
          <w:lang w:val="en-US" w:eastAsia="zh-CN"/>
        </w:rPr>
      </w:pPr>
    </w:p>
    <w:p w14:paraId="5C67CB88">
      <w:pPr>
        <w:rPr>
          <w:rFonts w:hint="eastAsia"/>
          <w:b/>
          <w:color w:val="auto"/>
          <w:u w:val="single"/>
          <w:lang w:val="en-US" w:eastAsia="zh-CN"/>
        </w:rPr>
      </w:pPr>
      <w:r>
        <w:rPr>
          <w:rFonts w:hint="eastAsia"/>
          <w:b/>
          <w:color w:val="auto"/>
          <w:u w:val="single"/>
          <w:lang w:val="en-US" w:eastAsia="zh-CN"/>
        </w:rPr>
        <w:t>Issue 2-1-3: Rank</w:t>
      </w:r>
    </w:p>
    <w:p w14:paraId="42F5A9A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113A95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Rank 2</w:t>
      </w:r>
    </w:p>
    <w:p w14:paraId="4243032E">
      <w:pPr>
        <w:rPr>
          <w:rFonts w:hint="eastAsia"/>
          <w:b/>
          <w:color w:val="auto"/>
          <w:u w:val="single"/>
          <w:lang w:val="en-US" w:eastAsia="zh-CN"/>
        </w:rPr>
      </w:pPr>
    </w:p>
    <w:p w14:paraId="6502F6FD">
      <w:pPr>
        <w:rPr>
          <w:rFonts w:hint="eastAsia"/>
          <w:b/>
          <w:color w:val="auto"/>
          <w:u w:val="single"/>
          <w:lang w:val="en-US" w:eastAsia="zh-CN"/>
        </w:rPr>
      </w:pPr>
      <w:r>
        <w:rPr>
          <w:rFonts w:hint="eastAsia"/>
          <w:b/>
          <w:color w:val="auto"/>
          <w:u w:val="single"/>
          <w:lang w:val="en-US" w:eastAsia="zh-CN"/>
        </w:rPr>
        <w:t>Issue 2-1-4: MCS</w:t>
      </w:r>
    </w:p>
    <w:p w14:paraId="14DE32D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7474161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For initial simulation, consider 16QAM Table 1 MCS13, 64QAM Table 1 MCS 22 and 256QAM Table 2 MCS 24 </w:t>
      </w:r>
    </w:p>
    <w:p w14:paraId="408103A7">
      <w:pPr>
        <w:rPr>
          <w:rFonts w:hint="eastAsia"/>
          <w:b/>
          <w:color w:val="auto"/>
          <w:u w:val="single"/>
          <w:lang w:val="en-US" w:eastAsia="zh-CN"/>
        </w:rPr>
      </w:pPr>
    </w:p>
    <w:p w14:paraId="7C1980DD">
      <w:pPr>
        <w:rPr>
          <w:rFonts w:hint="eastAsia"/>
          <w:b/>
          <w:color w:val="auto"/>
          <w:u w:val="single"/>
          <w:lang w:val="en-US" w:eastAsia="zh-CN"/>
        </w:rPr>
      </w:pPr>
      <w:r>
        <w:rPr>
          <w:rFonts w:hint="eastAsia"/>
          <w:b/>
          <w:color w:val="auto"/>
          <w:u w:val="single"/>
          <w:lang w:val="en-US" w:eastAsia="zh-CN"/>
        </w:rPr>
        <w:t>Issue 2-1-5: Propagation condition</w:t>
      </w:r>
    </w:p>
    <w:p w14:paraId="58DE315C">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1C7AF6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AWGN+220Hz for FDD 15kHz，AWGN+500Hz for TDD 30kHz</w:t>
      </w:r>
    </w:p>
    <w:p w14:paraId="577BAEA8">
      <w:pPr>
        <w:rPr>
          <w:rFonts w:hint="eastAsia"/>
          <w:b/>
          <w:color w:val="auto"/>
          <w:u w:val="single"/>
          <w:lang w:val="en-US" w:eastAsia="zh-CN"/>
        </w:rPr>
      </w:pPr>
    </w:p>
    <w:p w14:paraId="2689A4B9">
      <w:pPr>
        <w:rPr>
          <w:rFonts w:hint="eastAsia"/>
          <w:b/>
          <w:color w:val="auto"/>
          <w:u w:val="single"/>
          <w:lang w:val="en-US" w:eastAsia="zh-CN"/>
        </w:rPr>
      </w:pPr>
      <w:r>
        <w:rPr>
          <w:rFonts w:hint="eastAsia"/>
          <w:b/>
          <w:color w:val="auto"/>
          <w:u w:val="single"/>
          <w:lang w:val="en-US" w:eastAsia="zh-CN"/>
        </w:rPr>
        <w:t>Issue 2-1-6: Other simulation assumptions</w:t>
      </w:r>
    </w:p>
    <w:p w14:paraId="13262B41">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4AECAA5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eastAsia="宋体"/>
          <w:color w:val="auto"/>
          <w:szCs w:val="24"/>
          <w:lang w:val="en-US" w:eastAsia="zh-CN"/>
        </w:rPr>
      </w:pPr>
      <w:r>
        <w:rPr>
          <w:rFonts w:hint="eastAsia" w:eastAsia="宋体"/>
          <w:color w:val="auto"/>
          <w:szCs w:val="24"/>
          <w:lang w:val="en-US" w:eastAsia="zh-CN"/>
        </w:rPr>
        <w:t>For other simulation assumptions, the agreements from Rel-18 can be reused, including:</w:t>
      </w:r>
    </w:p>
    <w:tbl>
      <w:tblPr>
        <w:tblStyle w:val="10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3042"/>
        <w:gridCol w:w="1547"/>
        <w:gridCol w:w="1687"/>
        <w:gridCol w:w="1696"/>
      </w:tblGrid>
      <w:tr w14:paraId="5746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5A1ABABC">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Parameter</w:t>
            </w:r>
          </w:p>
        </w:tc>
        <w:tc>
          <w:tcPr>
            <w:tcW w:w="1547" w:type="dxa"/>
          </w:tcPr>
          <w:p w14:paraId="395A32FD">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Unit</w:t>
            </w:r>
          </w:p>
        </w:tc>
        <w:tc>
          <w:tcPr>
            <w:tcW w:w="1687" w:type="dxa"/>
          </w:tcPr>
          <w:p w14:paraId="0865405E">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Test 1</w:t>
            </w:r>
          </w:p>
        </w:tc>
        <w:tc>
          <w:tcPr>
            <w:tcW w:w="1696" w:type="dxa"/>
          </w:tcPr>
          <w:p w14:paraId="67085BC0">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Test 2</w:t>
            </w:r>
          </w:p>
        </w:tc>
      </w:tr>
      <w:tr w14:paraId="4146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0A25F7B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range</w:t>
            </w:r>
          </w:p>
        </w:tc>
        <w:tc>
          <w:tcPr>
            <w:tcW w:w="1547" w:type="dxa"/>
          </w:tcPr>
          <w:p w14:paraId="48CEC1F9">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　</w:t>
            </w:r>
          </w:p>
        </w:tc>
        <w:tc>
          <w:tcPr>
            <w:tcW w:w="1687" w:type="dxa"/>
          </w:tcPr>
          <w:p w14:paraId="0D7D6F1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FR1</w:t>
            </w:r>
          </w:p>
        </w:tc>
        <w:tc>
          <w:tcPr>
            <w:tcW w:w="1696" w:type="dxa"/>
          </w:tcPr>
          <w:p w14:paraId="4E74915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FR1</w:t>
            </w:r>
          </w:p>
        </w:tc>
      </w:tr>
      <w:tr w14:paraId="188E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7EBEE0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Bandwidth</w:t>
            </w:r>
          </w:p>
        </w:tc>
        <w:tc>
          <w:tcPr>
            <w:tcW w:w="1547" w:type="dxa"/>
          </w:tcPr>
          <w:p w14:paraId="5B16AA7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MHz</w:t>
            </w:r>
          </w:p>
        </w:tc>
        <w:tc>
          <w:tcPr>
            <w:tcW w:w="1687" w:type="dxa"/>
          </w:tcPr>
          <w:p w14:paraId="1408DB3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10</w:t>
            </w:r>
          </w:p>
        </w:tc>
        <w:tc>
          <w:tcPr>
            <w:tcW w:w="1696" w:type="dxa"/>
          </w:tcPr>
          <w:p w14:paraId="1D6EEF00">
            <w:pPr>
              <w:overflowPunct w:val="0"/>
              <w:autoSpaceDE w:val="0"/>
              <w:autoSpaceDN w:val="0"/>
              <w:adjustRightInd w:val="0"/>
              <w:spacing w:after="120" w:line="276" w:lineRule="auto"/>
              <w:textAlignment w:val="baseline"/>
              <w:rPr>
                <w:i w:val="0"/>
                <w:iCs w:val="0"/>
                <w:color w:val="auto"/>
                <w:sz w:val="20"/>
                <w:szCs w:val="20"/>
              </w:rPr>
            </w:pPr>
            <w:r>
              <w:rPr>
                <w:rFonts w:eastAsia="宋体"/>
                <w:i w:val="0"/>
                <w:iCs w:val="0"/>
                <w:color w:val="auto"/>
                <w:sz w:val="20"/>
                <w:szCs w:val="20"/>
              </w:rPr>
              <w:t>40</w:t>
            </w:r>
          </w:p>
        </w:tc>
      </w:tr>
      <w:tr w14:paraId="7EE5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585245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Subcarrier spacing</w:t>
            </w:r>
          </w:p>
        </w:tc>
        <w:tc>
          <w:tcPr>
            <w:tcW w:w="1547" w:type="dxa"/>
          </w:tcPr>
          <w:p w14:paraId="48F20E8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kHz</w:t>
            </w:r>
          </w:p>
        </w:tc>
        <w:tc>
          <w:tcPr>
            <w:tcW w:w="1687" w:type="dxa"/>
          </w:tcPr>
          <w:p w14:paraId="1725C4E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15</w:t>
            </w:r>
          </w:p>
        </w:tc>
        <w:tc>
          <w:tcPr>
            <w:tcW w:w="1696" w:type="dxa"/>
          </w:tcPr>
          <w:p w14:paraId="702A09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30</w:t>
            </w:r>
          </w:p>
        </w:tc>
      </w:tr>
      <w:tr w14:paraId="32CB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FEAED1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Duplex Mode</w:t>
            </w:r>
          </w:p>
        </w:tc>
        <w:tc>
          <w:tcPr>
            <w:tcW w:w="1547" w:type="dxa"/>
          </w:tcPr>
          <w:p w14:paraId="57CA510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0A140D1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FDD</w:t>
            </w:r>
          </w:p>
        </w:tc>
        <w:tc>
          <w:tcPr>
            <w:tcW w:w="1696" w:type="dxa"/>
          </w:tcPr>
          <w:p w14:paraId="595707A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TDD</w:t>
            </w:r>
          </w:p>
        </w:tc>
      </w:tr>
      <w:tr w14:paraId="15D0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328" w:type="dxa"/>
            <w:gridSpan w:val="2"/>
          </w:tcPr>
          <w:p w14:paraId="5DA5E54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Propagation channel</w:t>
            </w:r>
          </w:p>
        </w:tc>
        <w:tc>
          <w:tcPr>
            <w:tcW w:w="1547" w:type="dxa"/>
          </w:tcPr>
          <w:p w14:paraId="72065C3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C940C2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AWGN+220Hz doppler</w:t>
            </w:r>
          </w:p>
        </w:tc>
        <w:tc>
          <w:tcPr>
            <w:tcW w:w="1696" w:type="dxa"/>
          </w:tcPr>
          <w:p w14:paraId="55BED6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AWGN+500Hz doppler</w:t>
            </w:r>
          </w:p>
        </w:tc>
      </w:tr>
      <w:tr w14:paraId="2876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28" w:type="dxa"/>
            <w:gridSpan w:val="2"/>
          </w:tcPr>
          <w:p w14:paraId="7CC2C3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Beamforming Model  </w:t>
            </w:r>
          </w:p>
        </w:tc>
        <w:tc>
          <w:tcPr>
            <w:tcW w:w="1547" w:type="dxa"/>
          </w:tcPr>
          <w:p w14:paraId="1C0D75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005387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As defined in Annex B.4.1 in TS 38.101-4</w:t>
            </w:r>
          </w:p>
        </w:tc>
        <w:tc>
          <w:tcPr>
            <w:tcW w:w="1696" w:type="dxa"/>
          </w:tcPr>
          <w:p w14:paraId="6DD9D03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As defined in Annex B.4.1 in TS 38.101-4</w:t>
            </w:r>
          </w:p>
        </w:tc>
      </w:tr>
      <w:tr w14:paraId="35EA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5CC77E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Receiver type</w:t>
            </w:r>
          </w:p>
        </w:tc>
        <w:tc>
          <w:tcPr>
            <w:tcW w:w="1547" w:type="dxa"/>
          </w:tcPr>
          <w:p w14:paraId="303FE4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930A84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MMSE-IRC</w:t>
            </w:r>
          </w:p>
        </w:tc>
        <w:tc>
          <w:tcPr>
            <w:tcW w:w="1696" w:type="dxa"/>
          </w:tcPr>
          <w:p w14:paraId="597EC45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MMSE-IRC</w:t>
            </w:r>
          </w:p>
        </w:tc>
      </w:tr>
      <w:tr w14:paraId="0E93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2375F65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PDSCH configuration</w:t>
            </w:r>
          </w:p>
        </w:tc>
        <w:tc>
          <w:tcPr>
            <w:tcW w:w="3042" w:type="dxa"/>
          </w:tcPr>
          <w:p w14:paraId="06753AE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Mapping type</w:t>
            </w:r>
          </w:p>
        </w:tc>
        <w:tc>
          <w:tcPr>
            <w:tcW w:w="1547" w:type="dxa"/>
          </w:tcPr>
          <w:p w14:paraId="02F27C4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BDA8B6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A</w:t>
            </w:r>
          </w:p>
        </w:tc>
        <w:tc>
          <w:tcPr>
            <w:tcW w:w="1696" w:type="dxa"/>
          </w:tcPr>
          <w:p w14:paraId="2BCD6E2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A</w:t>
            </w:r>
          </w:p>
        </w:tc>
      </w:tr>
      <w:tr w14:paraId="11BF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AAACFB2">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26E9F7A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Starting symbol (S)</w:t>
            </w:r>
          </w:p>
        </w:tc>
        <w:tc>
          <w:tcPr>
            <w:tcW w:w="1547" w:type="dxa"/>
          </w:tcPr>
          <w:p w14:paraId="7953B18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0A3435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4E7841D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276A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F4868D7">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059279B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Length (L)</w:t>
            </w:r>
          </w:p>
        </w:tc>
        <w:tc>
          <w:tcPr>
            <w:tcW w:w="1547" w:type="dxa"/>
          </w:tcPr>
          <w:p w14:paraId="4433B64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719847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12</w:t>
            </w:r>
          </w:p>
        </w:tc>
        <w:tc>
          <w:tcPr>
            <w:tcW w:w="1696" w:type="dxa"/>
          </w:tcPr>
          <w:p w14:paraId="3E3A5B7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12</w:t>
            </w:r>
          </w:p>
        </w:tc>
      </w:tr>
      <w:tr w14:paraId="0120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886EC0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26F59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PRB bundling size</w:t>
            </w:r>
          </w:p>
        </w:tc>
        <w:tc>
          <w:tcPr>
            <w:tcW w:w="1547" w:type="dxa"/>
          </w:tcPr>
          <w:p w14:paraId="5737A80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5E18B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06B62C9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4966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46AC920">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1AAB62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PRB bundling type</w:t>
            </w:r>
          </w:p>
        </w:tc>
        <w:tc>
          <w:tcPr>
            <w:tcW w:w="1547" w:type="dxa"/>
          </w:tcPr>
          <w:p w14:paraId="5433056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AD98D1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Static</w:t>
            </w:r>
          </w:p>
        </w:tc>
        <w:tc>
          <w:tcPr>
            <w:tcW w:w="1696" w:type="dxa"/>
          </w:tcPr>
          <w:p w14:paraId="095523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Static</w:t>
            </w:r>
          </w:p>
        </w:tc>
      </w:tr>
      <w:tr w14:paraId="2CF2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44E3F41">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390A638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VRB-to-PRB mapping interleaver bundle size</w:t>
            </w:r>
          </w:p>
        </w:tc>
        <w:tc>
          <w:tcPr>
            <w:tcW w:w="1547" w:type="dxa"/>
          </w:tcPr>
          <w:p w14:paraId="6EA33E4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ABB70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Non-interleaved</w:t>
            </w:r>
          </w:p>
        </w:tc>
        <w:tc>
          <w:tcPr>
            <w:tcW w:w="1696" w:type="dxa"/>
          </w:tcPr>
          <w:p w14:paraId="71823AE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Non-interleaved</w:t>
            </w:r>
          </w:p>
        </w:tc>
      </w:tr>
      <w:tr w14:paraId="536F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24E0B4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PDSCH DMRS configuration</w:t>
            </w:r>
          </w:p>
        </w:tc>
        <w:tc>
          <w:tcPr>
            <w:tcW w:w="3042" w:type="dxa"/>
          </w:tcPr>
          <w:p w14:paraId="74E837F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DMRS Type</w:t>
            </w:r>
          </w:p>
        </w:tc>
        <w:tc>
          <w:tcPr>
            <w:tcW w:w="1547" w:type="dxa"/>
          </w:tcPr>
          <w:p w14:paraId="3D65FDB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7EE72F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1</w:t>
            </w:r>
          </w:p>
        </w:tc>
        <w:tc>
          <w:tcPr>
            <w:tcW w:w="1696" w:type="dxa"/>
          </w:tcPr>
          <w:p w14:paraId="0308E9F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1</w:t>
            </w:r>
          </w:p>
        </w:tc>
      </w:tr>
      <w:tr w14:paraId="2408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584A04E">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E17003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additional DMRS</w:t>
            </w:r>
          </w:p>
        </w:tc>
        <w:tc>
          <w:tcPr>
            <w:tcW w:w="1547" w:type="dxa"/>
          </w:tcPr>
          <w:p w14:paraId="5FE3ACA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04D3E1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2FE9F26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5D4B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5DE2F819">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0C50BA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Maximum number of OFDM symbols for DL front loaded DMRS</w:t>
            </w:r>
          </w:p>
        </w:tc>
        <w:tc>
          <w:tcPr>
            <w:tcW w:w="1547" w:type="dxa"/>
          </w:tcPr>
          <w:p w14:paraId="780B90B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830372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1C40C4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7A3E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restart"/>
          </w:tcPr>
          <w:p w14:paraId="48C80E6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NZP CSI-RS for CSI acquisition</w:t>
            </w:r>
          </w:p>
        </w:tc>
        <w:tc>
          <w:tcPr>
            <w:tcW w:w="3042" w:type="dxa"/>
          </w:tcPr>
          <w:p w14:paraId="7DA900E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Row index (Note 3</w:t>
            </w:r>
            <w:r>
              <w:rPr>
                <w:rFonts w:eastAsia="宋体"/>
                <w:i w:val="0"/>
                <w:iCs w:val="0"/>
                <w:color w:val="auto"/>
                <w:sz w:val="20"/>
                <w:szCs w:val="20"/>
                <w:vertAlign w:val="superscript"/>
              </w:rPr>
              <w:t>)</w:t>
            </w:r>
          </w:p>
        </w:tc>
        <w:tc>
          <w:tcPr>
            <w:tcW w:w="1547" w:type="dxa"/>
          </w:tcPr>
          <w:p w14:paraId="4AB78F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00341F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w:t>
            </w:r>
          </w:p>
        </w:tc>
        <w:tc>
          <w:tcPr>
            <w:tcW w:w="1696" w:type="dxa"/>
          </w:tcPr>
          <w:p w14:paraId="286315E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w:t>
            </w:r>
          </w:p>
        </w:tc>
      </w:tr>
      <w:tr w14:paraId="2ECF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3D5DA446">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191EC1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subcarrier index in the PRB used for CSI-RS </w:t>
            </w:r>
          </w:p>
        </w:tc>
        <w:tc>
          <w:tcPr>
            <w:tcW w:w="1547" w:type="dxa"/>
          </w:tcPr>
          <w:p w14:paraId="2C0E597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6D6A5F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0</w:t>
            </w:r>
          </w:p>
        </w:tc>
        <w:tc>
          <w:tcPr>
            <w:tcW w:w="1696" w:type="dxa"/>
          </w:tcPr>
          <w:p w14:paraId="2FBCE0E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0</w:t>
            </w:r>
          </w:p>
        </w:tc>
      </w:tr>
      <w:tr w14:paraId="3E8F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7212288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50F55E5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OFDM symbol in the PRB used for CSI-RS </w:t>
            </w:r>
          </w:p>
        </w:tc>
        <w:tc>
          <w:tcPr>
            <w:tcW w:w="1547" w:type="dxa"/>
          </w:tcPr>
          <w:p w14:paraId="442304D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DB059B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c>
          <w:tcPr>
            <w:tcW w:w="1696" w:type="dxa"/>
          </w:tcPr>
          <w:p w14:paraId="46FAFC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r>
      <w:tr w14:paraId="321D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6ED683B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9DE8E9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CSI-RS ports (X)</w:t>
            </w:r>
          </w:p>
        </w:tc>
        <w:tc>
          <w:tcPr>
            <w:tcW w:w="1547" w:type="dxa"/>
          </w:tcPr>
          <w:p w14:paraId="01B91D4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BAC0EA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265A78D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52A4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986ABF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FD3633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CDM Type</w:t>
            </w:r>
          </w:p>
        </w:tc>
        <w:tc>
          <w:tcPr>
            <w:tcW w:w="1547" w:type="dxa"/>
          </w:tcPr>
          <w:p w14:paraId="1DF8D3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63A159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c>
          <w:tcPr>
            <w:tcW w:w="1696" w:type="dxa"/>
          </w:tcPr>
          <w:p w14:paraId="557DD1B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r>
      <w:tr w14:paraId="5BFD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F875AD1">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221BC2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Density (ρ)</w:t>
            </w:r>
          </w:p>
        </w:tc>
        <w:tc>
          <w:tcPr>
            <w:tcW w:w="1547" w:type="dxa"/>
          </w:tcPr>
          <w:p w14:paraId="4942BB6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7D9FE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2147582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1E79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5BAB5B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B8BDA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periodicity</w:t>
            </w:r>
          </w:p>
        </w:tc>
        <w:tc>
          <w:tcPr>
            <w:tcW w:w="1547" w:type="dxa"/>
          </w:tcPr>
          <w:p w14:paraId="7F390C2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33B3F4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20</w:t>
            </w:r>
          </w:p>
        </w:tc>
        <w:tc>
          <w:tcPr>
            <w:tcW w:w="1696" w:type="dxa"/>
          </w:tcPr>
          <w:p w14:paraId="6E46B68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40</w:t>
            </w:r>
          </w:p>
        </w:tc>
      </w:tr>
      <w:tr w14:paraId="1B3C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7D89C4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2AB36F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offset</w:t>
            </w:r>
          </w:p>
        </w:tc>
        <w:tc>
          <w:tcPr>
            <w:tcW w:w="1547" w:type="dxa"/>
          </w:tcPr>
          <w:p w14:paraId="0C4F895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233BB9D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c>
          <w:tcPr>
            <w:tcW w:w="1696" w:type="dxa"/>
          </w:tcPr>
          <w:p w14:paraId="582EACD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r>
      <w:tr w14:paraId="6234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1DCFFF28">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restart"/>
          </w:tcPr>
          <w:p w14:paraId="73B8A0E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Occupation</w:t>
            </w:r>
          </w:p>
        </w:tc>
        <w:tc>
          <w:tcPr>
            <w:tcW w:w="1547" w:type="dxa"/>
            <w:vMerge w:val="restart"/>
          </w:tcPr>
          <w:p w14:paraId="5FD28B8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908C4D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c>
          <w:tcPr>
            <w:tcW w:w="1696" w:type="dxa"/>
          </w:tcPr>
          <w:p w14:paraId="6C7263E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r>
      <w:tr w14:paraId="2AD8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59149F6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continue"/>
          </w:tcPr>
          <w:p w14:paraId="0DA78DCB">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547" w:type="dxa"/>
            <w:vMerge w:val="continue"/>
          </w:tcPr>
          <w:p w14:paraId="7DB3118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687" w:type="dxa"/>
          </w:tcPr>
          <w:p w14:paraId="0135C58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c>
          <w:tcPr>
            <w:tcW w:w="1696" w:type="dxa"/>
          </w:tcPr>
          <w:p w14:paraId="07FFCB8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r>
      <w:tr w14:paraId="4E2F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0AA6AF7">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79B22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QCL info</w:t>
            </w:r>
          </w:p>
        </w:tc>
        <w:tc>
          <w:tcPr>
            <w:tcW w:w="1547" w:type="dxa"/>
          </w:tcPr>
          <w:p w14:paraId="692C366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8DD2B1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TCI state #1</w:t>
            </w:r>
          </w:p>
        </w:tc>
        <w:tc>
          <w:tcPr>
            <w:tcW w:w="1696" w:type="dxa"/>
          </w:tcPr>
          <w:p w14:paraId="5432865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TCI state #1</w:t>
            </w:r>
          </w:p>
        </w:tc>
      </w:tr>
      <w:tr w14:paraId="1E25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42EE83F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ZP CSI-RS for CSI acquisition</w:t>
            </w:r>
          </w:p>
        </w:tc>
        <w:tc>
          <w:tcPr>
            <w:tcW w:w="3042" w:type="dxa"/>
          </w:tcPr>
          <w:p w14:paraId="71515BD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Row index (Note 3)</w:t>
            </w:r>
          </w:p>
        </w:tc>
        <w:tc>
          <w:tcPr>
            <w:tcW w:w="1547" w:type="dxa"/>
          </w:tcPr>
          <w:p w14:paraId="057E083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F72440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5</w:t>
            </w:r>
          </w:p>
        </w:tc>
        <w:tc>
          <w:tcPr>
            <w:tcW w:w="1696" w:type="dxa"/>
          </w:tcPr>
          <w:p w14:paraId="3DFCCE8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5</w:t>
            </w:r>
          </w:p>
        </w:tc>
      </w:tr>
      <w:tr w14:paraId="7165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4D55E8C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BB48AE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subcarrier index in the PRB used for CSI-RS </w:t>
            </w:r>
          </w:p>
        </w:tc>
        <w:tc>
          <w:tcPr>
            <w:tcW w:w="1547" w:type="dxa"/>
          </w:tcPr>
          <w:p w14:paraId="5899A82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B0BE0E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4</w:t>
            </w:r>
          </w:p>
        </w:tc>
        <w:tc>
          <w:tcPr>
            <w:tcW w:w="1696" w:type="dxa"/>
          </w:tcPr>
          <w:p w14:paraId="7080823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4</w:t>
            </w:r>
          </w:p>
        </w:tc>
      </w:tr>
      <w:tr w14:paraId="751D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196CFF5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5091DE6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OFDM symbol in the PRB used for CSI-RS </w:t>
            </w:r>
          </w:p>
        </w:tc>
        <w:tc>
          <w:tcPr>
            <w:tcW w:w="1547" w:type="dxa"/>
          </w:tcPr>
          <w:p w14:paraId="736CAA5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9A0A56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c>
          <w:tcPr>
            <w:tcW w:w="1696" w:type="dxa"/>
          </w:tcPr>
          <w:p w14:paraId="5AB1369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r>
      <w:tr w14:paraId="79E6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CCC79FC">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F9F8B6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CSI-RS ports (X)</w:t>
            </w:r>
          </w:p>
        </w:tc>
        <w:tc>
          <w:tcPr>
            <w:tcW w:w="1547" w:type="dxa"/>
          </w:tcPr>
          <w:p w14:paraId="5018DC6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ADBCF9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4B807C5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r>
      <w:tr w14:paraId="03FF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621E80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7E07D6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CDM Type</w:t>
            </w:r>
          </w:p>
        </w:tc>
        <w:tc>
          <w:tcPr>
            <w:tcW w:w="1547" w:type="dxa"/>
          </w:tcPr>
          <w:p w14:paraId="74BBE44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1AF01F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c>
          <w:tcPr>
            <w:tcW w:w="1696" w:type="dxa"/>
          </w:tcPr>
          <w:p w14:paraId="02FC84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r>
      <w:tr w14:paraId="7248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86" w:type="dxa"/>
            <w:vMerge w:val="continue"/>
          </w:tcPr>
          <w:p w14:paraId="772F162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38A5179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Density (ρ)</w:t>
            </w:r>
          </w:p>
        </w:tc>
        <w:tc>
          <w:tcPr>
            <w:tcW w:w="1547" w:type="dxa"/>
          </w:tcPr>
          <w:p w14:paraId="0E43619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790B89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16FFF1A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693F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86" w:type="dxa"/>
            <w:vMerge w:val="continue"/>
          </w:tcPr>
          <w:p w14:paraId="2EED7D38">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235ABFE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periodicity</w:t>
            </w:r>
          </w:p>
        </w:tc>
        <w:tc>
          <w:tcPr>
            <w:tcW w:w="1547" w:type="dxa"/>
          </w:tcPr>
          <w:p w14:paraId="0B151C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7F14B2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20</w:t>
            </w:r>
          </w:p>
        </w:tc>
        <w:tc>
          <w:tcPr>
            <w:tcW w:w="1696" w:type="dxa"/>
          </w:tcPr>
          <w:p w14:paraId="1C47628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40</w:t>
            </w:r>
          </w:p>
        </w:tc>
      </w:tr>
      <w:tr w14:paraId="157B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2448172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A772B9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offset</w:t>
            </w:r>
          </w:p>
        </w:tc>
        <w:tc>
          <w:tcPr>
            <w:tcW w:w="1547" w:type="dxa"/>
          </w:tcPr>
          <w:p w14:paraId="452805B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3FEE4B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c>
          <w:tcPr>
            <w:tcW w:w="1696" w:type="dxa"/>
          </w:tcPr>
          <w:p w14:paraId="7A7395E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r>
      <w:tr w14:paraId="11BB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8D17FA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restart"/>
          </w:tcPr>
          <w:p w14:paraId="2389BEE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Occupation</w:t>
            </w:r>
          </w:p>
        </w:tc>
        <w:tc>
          <w:tcPr>
            <w:tcW w:w="1547" w:type="dxa"/>
            <w:vMerge w:val="restart"/>
          </w:tcPr>
          <w:p w14:paraId="2B99B87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B1684A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c>
          <w:tcPr>
            <w:tcW w:w="1696" w:type="dxa"/>
          </w:tcPr>
          <w:p w14:paraId="1EA9323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r>
      <w:tr w14:paraId="27AD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005D39E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continue"/>
          </w:tcPr>
          <w:p w14:paraId="1DBF247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547" w:type="dxa"/>
            <w:vMerge w:val="continue"/>
          </w:tcPr>
          <w:p w14:paraId="28C76F9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687" w:type="dxa"/>
          </w:tcPr>
          <w:p w14:paraId="0A691F6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c>
          <w:tcPr>
            <w:tcW w:w="1696" w:type="dxa"/>
          </w:tcPr>
          <w:p w14:paraId="3D26004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r>
      <w:tr w14:paraId="363D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12579C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Maximum number of HARQ transmission</w:t>
            </w:r>
          </w:p>
        </w:tc>
        <w:tc>
          <w:tcPr>
            <w:tcW w:w="1547" w:type="dxa"/>
          </w:tcPr>
          <w:p w14:paraId="3A31C38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8815BF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45A3D21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r>
      <w:tr w14:paraId="464C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2F16961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HARQ Processes</w:t>
            </w:r>
          </w:p>
        </w:tc>
        <w:tc>
          <w:tcPr>
            <w:tcW w:w="1547" w:type="dxa"/>
          </w:tcPr>
          <w:p w14:paraId="2A9CD3C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02929A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57D66A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8</w:t>
            </w:r>
          </w:p>
        </w:tc>
      </w:tr>
      <w:tr w14:paraId="780B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4328" w:type="dxa"/>
            <w:gridSpan w:val="2"/>
          </w:tcPr>
          <w:p w14:paraId="4DBF41D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Test metric</w:t>
            </w:r>
          </w:p>
        </w:tc>
        <w:tc>
          <w:tcPr>
            <w:tcW w:w="1547" w:type="dxa"/>
          </w:tcPr>
          <w:p w14:paraId="717A4DA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3383" w:type="dxa"/>
            <w:gridSpan w:val="2"/>
          </w:tcPr>
          <w:p w14:paraId="13AEB8B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70% of max throughput at target SNR.</w:t>
            </w:r>
          </w:p>
        </w:tc>
      </w:tr>
    </w:tbl>
    <w:p w14:paraId="5217C540">
      <w:pPr>
        <w:rPr>
          <w:rFonts w:hint="default" w:ascii="Times New Roman" w:hAnsi="Times New Roman" w:cs="Times New Roman"/>
          <w:b/>
          <w:color w:val="auto"/>
          <w:sz w:val="20"/>
          <w:szCs w:val="20"/>
          <w:u w:val="single"/>
          <w:lang w:eastAsia="zh-CN"/>
        </w:rPr>
      </w:pPr>
    </w:p>
    <w:p w14:paraId="4D0F6A17">
      <w:pPr>
        <w:rPr>
          <w:rFonts w:hint="eastAsia"/>
          <w:b/>
          <w:color w:val="auto"/>
          <w:u w:val="single"/>
          <w:lang w:val="en-US" w:eastAsia="zh-CN"/>
        </w:rPr>
      </w:pPr>
      <w:r>
        <w:rPr>
          <w:rFonts w:hint="eastAsia"/>
          <w:b/>
          <w:color w:val="auto"/>
          <w:u w:val="single"/>
          <w:lang w:val="en-US" w:eastAsia="zh-CN"/>
        </w:rPr>
        <w:t>Issue 2-2-1: PMI</w:t>
      </w:r>
    </w:p>
    <w:p w14:paraId="621FCCCF">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5C4B064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No need to introduce PMI requirement</w:t>
      </w:r>
    </w:p>
    <w:p w14:paraId="07E420B1">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7C0B6BB9">
      <w:pPr>
        <w:rPr>
          <w:rFonts w:hint="eastAsia"/>
          <w:b/>
          <w:color w:val="auto"/>
          <w:u w:val="single"/>
          <w:lang w:val="en-US" w:eastAsia="zh-CN"/>
        </w:rPr>
      </w:pPr>
      <w:r>
        <w:rPr>
          <w:rFonts w:hint="eastAsia"/>
          <w:b/>
          <w:color w:val="auto"/>
          <w:u w:val="single"/>
          <w:lang w:val="en-US" w:eastAsia="zh-CN"/>
        </w:rPr>
        <w:t>Issue 2-2-2: RI</w:t>
      </w:r>
    </w:p>
    <w:p w14:paraId="77D6166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Proposal 1:</w:t>
      </w:r>
    </w:p>
    <w:p w14:paraId="5D1C338C">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Investigate the feasibility of introducing the RI requirement.</w:t>
      </w:r>
    </w:p>
    <w:p w14:paraId="54689D5D">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For antenna configuration and propagation channel, reuse the configuration from DL MIMO demodulation test. For other test parameters, reuse the configuration from legacy.</w:t>
      </w:r>
    </w:p>
    <w:p w14:paraId="56C9723D">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Decide the SNR and γby simulation results</w:t>
      </w:r>
    </w:p>
    <w:p w14:paraId="3200BD66">
      <w:pPr>
        <w:rPr>
          <w:rFonts w:hint="default" w:ascii="Times New Roman" w:hAnsi="Times New Roman" w:cs="Times New Roman"/>
          <w:b/>
          <w:color w:val="auto"/>
          <w:sz w:val="20"/>
          <w:szCs w:val="20"/>
          <w:u w:val="single"/>
          <w:lang w:eastAsia="zh-CN"/>
        </w:rPr>
      </w:pPr>
    </w:p>
    <w:p w14:paraId="2BC7A109">
      <w:pPr>
        <w:pStyle w:val="2"/>
        <w:rPr>
          <w:rFonts w:hint="default"/>
          <w:color w:val="auto"/>
          <w:lang w:val="en-US" w:eastAsia="zh-CN"/>
        </w:rPr>
      </w:pPr>
      <w:r>
        <w:rPr>
          <w:rFonts w:hint="default"/>
          <w:color w:val="auto"/>
        </w:rPr>
        <w:t>&lt;Topic</w:t>
      </w:r>
      <w:r>
        <w:rPr>
          <w:rFonts w:hint="default"/>
          <w:color w:val="auto"/>
          <w:highlight w:val="none"/>
        </w:rPr>
        <w:t xml:space="preserve"> </w:t>
      </w:r>
      <w:r>
        <w:rPr>
          <w:rFonts w:hint="eastAsia"/>
          <w:color w:val="auto"/>
          <w:highlight w:val="none"/>
          <w:lang w:val="en-US" w:eastAsia="zh-CN"/>
        </w:rPr>
        <w:t>3</w:t>
      </w:r>
      <w:r>
        <w:rPr>
          <w:rFonts w:hint="default"/>
          <w:color w:val="auto"/>
        </w:rPr>
        <w:t>&gt;</w:t>
      </w:r>
      <w:r>
        <w:rPr>
          <w:rFonts w:hint="default"/>
          <w:color w:val="auto"/>
          <w:lang w:val="en-US" w:eastAsia="zh-CN"/>
        </w:rPr>
        <w:t xml:space="preserve"> </w:t>
      </w:r>
      <w:r>
        <w:rPr>
          <w:rFonts w:hint="eastAsia"/>
          <w:color w:val="auto"/>
          <w:lang w:val="en-US" w:eastAsia="zh-CN"/>
        </w:rPr>
        <w:t>UL MIMO</w:t>
      </w:r>
    </w:p>
    <w:p w14:paraId="30CA98A6">
      <w:pPr>
        <w:rPr>
          <w:rFonts w:hint="eastAsia"/>
          <w:b/>
          <w:color w:val="auto"/>
          <w:u w:val="single"/>
          <w:lang w:val="en-US" w:eastAsia="zh-CN"/>
        </w:rPr>
      </w:pPr>
      <w:r>
        <w:rPr>
          <w:rFonts w:hint="eastAsia"/>
          <w:b/>
          <w:color w:val="auto"/>
          <w:u w:val="single"/>
          <w:lang w:val="en-US" w:eastAsia="zh-CN"/>
        </w:rPr>
        <w:t>Issue 3-1-1: Whether to reuse existing requirements for ATG UL MIMO</w:t>
      </w:r>
    </w:p>
    <w:p w14:paraId="430CBC8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3379D53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legacy PUSCH test cases in Clause 8.2.1with 2Tx 2 layer will be applied for ATG</w:t>
      </w:r>
    </w:p>
    <w:p w14:paraId="6D2B22AE">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yellow"/>
          <w:lang w:val="en-US" w:eastAsia="zh-CN"/>
        </w:rPr>
      </w:pPr>
      <w:r>
        <w:rPr>
          <w:rFonts w:hint="eastAsia" w:eastAsia="宋体" w:cs="Times New Roman"/>
          <w:color w:val="auto"/>
          <w:sz w:val="20"/>
          <w:szCs w:val="20"/>
          <w:highlight w:val="yellow"/>
          <w:lang w:val="en-US" w:eastAsia="zh-CN"/>
        </w:rPr>
        <w:t>FFS:</w:t>
      </w:r>
    </w:p>
    <w:p w14:paraId="6E0ECF63">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ab/>
      </w:r>
      <w:r>
        <w:rPr>
          <w:rFonts w:hint="eastAsia" w:eastAsia="宋体" w:cs="Times New Roman"/>
          <w:color w:val="auto"/>
          <w:sz w:val="20"/>
          <w:szCs w:val="20"/>
          <w:lang w:val="en-US" w:eastAsia="zh-CN"/>
        </w:rPr>
        <w:t>Whether other legacy test cases are needed.</w:t>
      </w:r>
    </w:p>
    <w:p w14:paraId="295AD885">
      <w:pPr>
        <w:rPr>
          <w:rFonts w:hint="eastAsia"/>
          <w:b/>
          <w:color w:val="auto"/>
          <w:u w:val="single"/>
          <w:lang w:val="en-US" w:eastAsia="zh-CN"/>
        </w:rPr>
      </w:pPr>
    </w:p>
    <w:p w14:paraId="1E62A937">
      <w:pPr>
        <w:rPr>
          <w:rFonts w:hint="eastAsia"/>
          <w:b/>
          <w:color w:val="auto"/>
          <w:u w:val="single"/>
          <w:lang w:val="en-US" w:eastAsia="zh-CN"/>
        </w:rPr>
      </w:pPr>
      <w:r>
        <w:rPr>
          <w:rFonts w:hint="eastAsia"/>
          <w:b/>
          <w:color w:val="auto"/>
          <w:u w:val="single"/>
          <w:lang w:val="en-US" w:eastAsia="zh-CN"/>
        </w:rPr>
        <w:t>Issue 3-1-2: Whether to introduce new test cases for ATG UL MIMO</w:t>
      </w:r>
    </w:p>
    <w:p w14:paraId="27FEF031">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32A5AD6F">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724E249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 xml:space="preserve">incremental PUSCH 2 layer test cases </w:t>
      </w:r>
      <w:r>
        <w:rPr>
          <w:rFonts w:hint="eastAsia" w:eastAsia="宋体"/>
          <w:color w:val="auto"/>
          <w:lang w:val="en-US" w:eastAsia="zh-CN"/>
        </w:rPr>
        <w:t>need to</w:t>
      </w:r>
      <w:r>
        <w:rPr>
          <w:rFonts w:hint="eastAsia" w:eastAsia="Yu Mincho"/>
          <w:color w:val="auto"/>
        </w:rPr>
        <w:t xml:space="preserve"> be introduced</w:t>
      </w:r>
    </w:p>
    <w:p w14:paraId="5067C3CE">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2:</w:t>
      </w:r>
    </w:p>
    <w:p w14:paraId="48A1C667">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Do not introduce new 2Tx PUSCH requirements for ATG scenario</w:t>
      </w:r>
    </w:p>
    <w:p w14:paraId="43C55A01">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3F53E33">
      <w:pPr>
        <w:rPr>
          <w:rFonts w:hint="eastAsia"/>
          <w:b/>
          <w:color w:val="auto"/>
          <w:u w:val="single"/>
          <w:lang w:val="en-US" w:eastAsia="zh-CN"/>
        </w:rPr>
      </w:pPr>
      <w:r>
        <w:rPr>
          <w:rFonts w:hint="eastAsia"/>
          <w:b/>
          <w:color w:val="auto"/>
          <w:u w:val="single"/>
          <w:lang w:val="en-US" w:eastAsia="zh-CN"/>
        </w:rPr>
        <w:t xml:space="preserve">Issue 3-1-3: Antenna configuration for incremental test </w:t>
      </w:r>
    </w:p>
    <w:p w14:paraId="4CF191DE">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6BE0AA4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0F053DDB">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 2T4R and 2T8R with X-pol low correlation</w:t>
      </w:r>
    </w:p>
    <w:p w14:paraId="2D48822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2:</w:t>
      </w:r>
    </w:p>
    <w:p w14:paraId="68C2426A">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 2T4R and 2T8R</w:t>
      </w:r>
    </w:p>
    <w:p w14:paraId="5197237A">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639506B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w:t>
      </w:r>
    </w:p>
    <w:p w14:paraId="51874B83">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08298DB0">
      <w:pPr>
        <w:rPr>
          <w:rFonts w:hint="eastAsia"/>
          <w:b/>
          <w:color w:val="auto"/>
          <w:u w:val="single"/>
          <w:lang w:val="en-US" w:eastAsia="zh-CN"/>
        </w:rPr>
      </w:pPr>
      <w:r>
        <w:rPr>
          <w:rFonts w:hint="eastAsia"/>
          <w:b/>
          <w:color w:val="auto"/>
          <w:u w:val="single"/>
          <w:lang w:val="en-US" w:eastAsia="zh-CN"/>
        </w:rPr>
        <w:t xml:space="preserve">Issue 3-1-4: Propagation condition for incremental test </w:t>
      </w:r>
    </w:p>
    <w:p w14:paraId="5136EB19">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89694A9">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 xml:space="preserve">: </w:t>
      </w:r>
    </w:p>
    <w:p w14:paraId="369A6A82">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For incremental test case, use AWGN+200Hz for FDD, and AWGN+500Hz for TDD. The static propagation condition model from TS38.101-4 can be taken as the reference</w:t>
      </w:r>
    </w:p>
    <w:p w14:paraId="18ED16E4">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4FED2E7D">
      <w:pPr>
        <w:rPr>
          <w:rFonts w:hint="eastAsia"/>
          <w:b/>
          <w:color w:val="auto"/>
          <w:u w:val="single"/>
          <w:lang w:val="en-US" w:eastAsia="zh-CN"/>
        </w:rPr>
      </w:pPr>
      <w:r>
        <w:rPr>
          <w:rFonts w:hint="eastAsia"/>
          <w:b/>
          <w:color w:val="auto"/>
          <w:u w:val="single"/>
          <w:lang w:val="en-US" w:eastAsia="zh-CN"/>
        </w:rPr>
        <w:t xml:space="preserve">Issue 3-1-5: Bandwidth &amp; SCS for incremental test </w:t>
      </w:r>
    </w:p>
    <w:p w14:paraId="44E23D43">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D94141E">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1C4F890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5MHz for FDD 15kHz SCS and 10MHz for TDD 30kHz SCS</w:t>
      </w:r>
    </w:p>
    <w:p w14:paraId="0615D6B5">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DCA36B6">
      <w:pPr>
        <w:rPr>
          <w:rFonts w:hint="eastAsia"/>
          <w:b/>
          <w:color w:val="auto"/>
          <w:u w:val="single"/>
          <w:lang w:val="en-US" w:eastAsia="zh-CN"/>
        </w:rPr>
      </w:pPr>
      <w:r>
        <w:rPr>
          <w:rFonts w:hint="eastAsia"/>
          <w:b/>
          <w:color w:val="auto"/>
          <w:u w:val="single"/>
          <w:lang w:val="en-US" w:eastAsia="zh-CN"/>
        </w:rPr>
        <w:t xml:space="preserve">Issue 3-1-6: Rank for incremental test </w:t>
      </w:r>
    </w:p>
    <w:p w14:paraId="15CF7D67">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15604105">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 xml:space="preserve">: </w:t>
      </w:r>
    </w:p>
    <w:p w14:paraId="019EB086">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Rank 2</w:t>
      </w:r>
    </w:p>
    <w:p w14:paraId="5CCAB506">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65521934">
      <w:pPr>
        <w:rPr>
          <w:rFonts w:hint="default"/>
          <w:b/>
          <w:color w:val="auto"/>
          <w:u w:val="single"/>
          <w:lang w:val="en-US" w:eastAsia="zh-CN"/>
        </w:rPr>
      </w:pPr>
      <w:r>
        <w:rPr>
          <w:rFonts w:hint="eastAsia"/>
          <w:b/>
          <w:color w:val="auto"/>
          <w:u w:val="single"/>
          <w:lang w:val="en-US" w:eastAsia="zh-CN"/>
        </w:rPr>
        <w:t xml:space="preserve">Issue 3-1-7: MCS for incremental test </w:t>
      </w:r>
    </w:p>
    <w:p w14:paraId="62D64D1F">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35AF698">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7FDA25C9">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16QAM Table 1 MCS12, 64QAM Table 1 MCS 20 and 256QAM Table 2 MCS 20 for initial simulation</w:t>
      </w:r>
    </w:p>
    <w:p w14:paraId="2CBDC694">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2: </w:t>
      </w:r>
    </w:p>
    <w:p w14:paraId="2D3C715F">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consider low modulation order for high rank transmission</w:t>
      </w:r>
    </w:p>
    <w:p w14:paraId="1805B70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3:</w:t>
      </w:r>
    </w:p>
    <w:p w14:paraId="36819631">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MCS 16</w:t>
      </w:r>
    </w:p>
    <w:p w14:paraId="6DE1881B">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505F758E">
      <w:pPr>
        <w:rPr>
          <w:rFonts w:hint="default"/>
          <w:b/>
          <w:color w:val="auto"/>
          <w:u w:val="single"/>
          <w:lang w:val="en-US" w:eastAsia="zh-CN"/>
        </w:rPr>
      </w:pPr>
      <w:r>
        <w:rPr>
          <w:rFonts w:hint="eastAsia"/>
          <w:b/>
          <w:color w:val="auto"/>
          <w:u w:val="single"/>
          <w:lang w:val="en-US" w:eastAsia="zh-CN"/>
        </w:rPr>
        <w:t xml:space="preserve">Issue 3-1-8: DMRS port for incremental test </w:t>
      </w:r>
    </w:p>
    <w:p w14:paraId="2F277B53">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07A1310C">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057B6DB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 xml:space="preserve">DMRS </w:t>
      </w:r>
      <w:r>
        <w:rPr>
          <w:rFonts w:hint="eastAsia" w:eastAsia="Yu Mincho"/>
          <w:color w:val="auto"/>
        </w:rPr>
        <w:t>port 2 {0,1}</w:t>
      </w:r>
    </w:p>
    <w:p w14:paraId="4F64771E">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05C52B3B">
      <w:pPr>
        <w:rPr>
          <w:rFonts w:hint="default"/>
          <w:b/>
          <w:color w:val="auto"/>
          <w:u w:val="single"/>
          <w:lang w:val="en-US" w:eastAsia="zh-CN"/>
        </w:rPr>
      </w:pPr>
      <w:r>
        <w:rPr>
          <w:rFonts w:hint="eastAsia"/>
          <w:b/>
          <w:color w:val="auto"/>
          <w:u w:val="single"/>
          <w:lang w:val="en-US" w:eastAsia="zh-CN"/>
        </w:rPr>
        <w:t xml:space="preserve">Issue 3-1-9: TPMI for incremental test </w:t>
      </w:r>
    </w:p>
    <w:p w14:paraId="56B24079">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4EABEF07">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5FFB687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TPMI index 0</w:t>
      </w:r>
    </w:p>
    <w:p w14:paraId="717D1822">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15B868F">
      <w:pPr>
        <w:rPr>
          <w:rFonts w:hint="default"/>
          <w:b/>
          <w:color w:val="auto"/>
          <w:u w:val="single"/>
          <w:lang w:val="en-US" w:eastAsia="zh-CN"/>
        </w:rPr>
      </w:pPr>
      <w:r>
        <w:rPr>
          <w:rFonts w:hint="eastAsia"/>
          <w:b/>
          <w:color w:val="auto"/>
          <w:u w:val="single"/>
          <w:lang w:val="en-US" w:eastAsia="zh-CN"/>
        </w:rPr>
        <w:t>Issue 3-1-10: Others</w:t>
      </w:r>
    </w:p>
    <w:p w14:paraId="42FB0907">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3B5A7F42">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4960DFA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color w:val="auto"/>
        </w:rPr>
        <w:t>Type A</w:t>
      </w:r>
    </w:p>
    <w:p w14:paraId="564DB0EC">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color w:val="auto"/>
        </w:rPr>
        <w:t>HARQ retransmission</w:t>
      </w:r>
    </w:p>
    <w:p w14:paraId="4F93B726">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7</w:t>
      </w:r>
      <w:r>
        <w:rPr>
          <w:color w:val="auto"/>
        </w:rPr>
        <w:t>0% of maximum throughput</w:t>
      </w:r>
    </w:p>
    <w:p w14:paraId="6E55C037">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lang w:val="en-US" w:eastAsia="zh-CN"/>
        </w:rPr>
        <w:t>Proposal 2:</w:t>
      </w:r>
    </w:p>
    <w:p w14:paraId="37EC4B39">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eastAsiaTheme="minorEastAsia"/>
          <w:b w:val="0"/>
          <w:bCs/>
          <w:i w:val="0"/>
          <w:iCs w:val="0"/>
          <w:color w:val="auto"/>
          <w:lang w:eastAsia="zh-CN"/>
        </w:rPr>
        <w:t>Others same as existing Rel-15 BS PUSCH demodulation requirement with 2Tx</w:t>
      </w:r>
    </w:p>
    <w:p w14:paraId="2D6A081F">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attachedTemplate r:id="rId1"/>
  <w:trackRevisions w:val="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0E8"/>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66478E0"/>
    <w:rsid w:val="076E5199"/>
    <w:rsid w:val="08036534"/>
    <w:rsid w:val="09575F33"/>
    <w:rsid w:val="122901F7"/>
    <w:rsid w:val="127C6D88"/>
    <w:rsid w:val="143E502C"/>
    <w:rsid w:val="16194085"/>
    <w:rsid w:val="18D42CAA"/>
    <w:rsid w:val="198432E8"/>
    <w:rsid w:val="1CBB1BB0"/>
    <w:rsid w:val="1D777F86"/>
    <w:rsid w:val="1E452485"/>
    <w:rsid w:val="1F17751E"/>
    <w:rsid w:val="1F8E3470"/>
    <w:rsid w:val="21F046BC"/>
    <w:rsid w:val="25F93F73"/>
    <w:rsid w:val="262D4A31"/>
    <w:rsid w:val="27EC59B9"/>
    <w:rsid w:val="287153F3"/>
    <w:rsid w:val="2B09789B"/>
    <w:rsid w:val="2BC55573"/>
    <w:rsid w:val="2BD66B3D"/>
    <w:rsid w:val="2D715F5C"/>
    <w:rsid w:val="2D9208E5"/>
    <w:rsid w:val="356362F6"/>
    <w:rsid w:val="363870C8"/>
    <w:rsid w:val="37160E14"/>
    <w:rsid w:val="37FA6736"/>
    <w:rsid w:val="39466412"/>
    <w:rsid w:val="39D671D7"/>
    <w:rsid w:val="3C6A60F0"/>
    <w:rsid w:val="3D1C31D0"/>
    <w:rsid w:val="3ECD11AB"/>
    <w:rsid w:val="3F2B4883"/>
    <w:rsid w:val="41D67276"/>
    <w:rsid w:val="42A61C74"/>
    <w:rsid w:val="42E9170E"/>
    <w:rsid w:val="43BD7978"/>
    <w:rsid w:val="43FA3280"/>
    <w:rsid w:val="44345155"/>
    <w:rsid w:val="448E4BC9"/>
    <w:rsid w:val="448F6B3A"/>
    <w:rsid w:val="45227AF8"/>
    <w:rsid w:val="454D3C30"/>
    <w:rsid w:val="45654B00"/>
    <w:rsid w:val="458D1B72"/>
    <w:rsid w:val="4789254C"/>
    <w:rsid w:val="4A56539A"/>
    <w:rsid w:val="4BE82A4F"/>
    <w:rsid w:val="4C510188"/>
    <w:rsid w:val="4C6C4F33"/>
    <w:rsid w:val="4C8D6D3F"/>
    <w:rsid w:val="4CBA32E1"/>
    <w:rsid w:val="4D1959C1"/>
    <w:rsid w:val="4F5E791D"/>
    <w:rsid w:val="4FBD263B"/>
    <w:rsid w:val="534F7715"/>
    <w:rsid w:val="55E6360E"/>
    <w:rsid w:val="57D07432"/>
    <w:rsid w:val="57DD4CE5"/>
    <w:rsid w:val="5C2B7C22"/>
    <w:rsid w:val="5CB839E2"/>
    <w:rsid w:val="5E4A20CD"/>
    <w:rsid w:val="5EAD270C"/>
    <w:rsid w:val="609820D2"/>
    <w:rsid w:val="64230B55"/>
    <w:rsid w:val="64D608B5"/>
    <w:rsid w:val="660A444F"/>
    <w:rsid w:val="66BF6EA0"/>
    <w:rsid w:val="66E6541B"/>
    <w:rsid w:val="68024046"/>
    <w:rsid w:val="69AF145F"/>
    <w:rsid w:val="6AD273B5"/>
    <w:rsid w:val="70E40553"/>
    <w:rsid w:val="72115020"/>
    <w:rsid w:val="72651D84"/>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1"/>
    <w:semiHidden/>
    <w:unhideWhenUsed/>
    <w:qFormat/>
    <w:uiPriority w:val="99"/>
    <w:rPr>
      <w:rFonts w:ascii="宋体"/>
      <w:sz w:val="18"/>
      <w:szCs w:val="18"/>
    </w:rPr>
  </w:style>
  <w:style w:type="paragraph" w:styleId="30">
    <w:name w:val="annotation text"/>
    <w:basedOn w:val="1"/>
    <w:qFormat/>
    <w:uiPriority w:val="99"/>
  </w:style>
  <w:style w:type="paragraph" w:styleId="31">
    <w:name w:val="Body Text"/>
    <w:basedOn w:val="1"/>
    <w:qFormat/>
    <w:uiPriority w:val="0"/>
  </w:style>
  <w:style w:type="paragraph" w:styleId="32">
    <w:name w:val="List Bullet 5"/>
    <w:basedOn w:val="24"/>
    <w:semiHidden/>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link w:val="72"/>
    <w:semiHidden/>
    <w:unhideWhenUsed/>
    <w:qFormat/>
    <w:uiPriority w:val="99"/>
    <w:pPr>
      <w:ind w:left="100" w:leftChars="2500"/>
    </w:pPr>
  </w:style>
  <w:style w:type="paragraph" w:styleId="35">
    <w:name w:val="Balloon Text"/>
    <w:basedOn w:val="1"/>
    <w:link w:val="62"/>
    <w:semiHidden/>
    <w:unhideWhenUsed/>
    <w:qFormat/>
    <w:uiPriority w:val="99"/>
    <w:pPr>
      <w:spacing w:after="0"/>
    </w:pPr>
    <w:rPr>
      <w:sz w:val="18"/>
      <w:szCs w:val="18"/>
    </w:rPr>
  </w:style>
  <w:style w:type="paragraph" w:styleId="36">
    <w:name w:val="footer"/>
    <w:basedOn w:val="37"/>
    <w:link w:val="71"/>
    <w:qFormat/>
    <w:uiPriority w:val="0"/>
    <w:pPr>
      <w:jc w:val="center"/>
    </w:pPr>
    <w:rPr>
      <w:i/>
    </w:rPr>
  </w:style>
  <w:style w:type="paragraph" w:styleId="37">
    <w:name w:val="header"/>
    <w:basedOn w:val="1"/>
    <w:link w:val="70"/>
    <w:qFormat/>
    <w:uiPriority w:val="0"/>
    <w:pPr>
      <w:widowControl w:val="0"/>
    </w:pPr>
    <w:rPr>
      <w:rFonts w:ascii="Arial" w:hAnsi="Arial"/>
      <w:b/>
      <w:sz w:val="18"/>
    </w:rPr>
  </w:style>
  <w:style w:type="paragraph" w:styleId="38">
    <w:name w:val="footnote text"/>
    <w:basedOn w:val="1"/>
    <w:link w:val="78"/>
    <w:semiHidden/>
    <w:qFormat/>
    <w:uiPriority w:val="0"/>
    <w:pPr>
      <w:keepLines/>
      <w:spacing w:after="0"/>
      <w:ind w:left="454" w:hanging="454"/>
    </w:pPr>
    <w:rPr>
      <w:sz w:val="16"/>
    </w:rPr>
  </w:style>
  <w:style w:type="paragraph" w:styleId="39">
    <w:name w:val="List 5"/>
    <w:basedOn w:val="40"/>
    <w:semiHidden/>
    <w:qFormat/>
    <w:uiPriority w:val="0"/>
    <w:pPr>
      <w:ind w:left="1702"/>
    </w:pPr>
  </w:style>
  <w:style w:type="paragraph" w:styleId="40">
    <w:name w:val="List 4"/>
    <w:basedOn w:val="12"/>
    <w:semiHidden/>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table" w:styleId="46">
    <w:name w:val="Table Grid"/>
    <w:basedOn w:val="4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otnote reference"/>
    <w:basedOn w:val="47"/>
    <w:semiHidden/>
    <w:qFormat/>
    <w:uiPriority w:val="0"/>
    <w:rPr>
      <w:b/>
      <w:position w:val="6"/>
      <w:sz w:val="16"/>
    </w:rPr>
  </w:style>
  <w:style w:type="character" w:customStyle="1" w:styleId="49">
    <w:name w:val="Heading 1 Char"/>
    <w:link w:val="2"/>
    <w:qFormat/>
    <w:uiPriority w:val="0"/>
    <w:rPr>
      <w:rFonts w:ascii="Arial" w:hAnsi="Arial" w:eastAsia="Times New Roman"/>
      <w:sz w:val="36"/>
    </w:rPr>
  </w:style>
  <w:style w:type="character" w:customStyle="1" w:styleId="50">
    <w:name w:val="Heading 2 Char"/>
    <w:link w:val="3"/>
    <w:qFormat/>
    <w:uiPriority w:val="0"/>
    <w:rPr>
      <w:rFonts w:ascii="Arial" w:hAnsi="Arial" w:eastAsia="Times New Roman"/>
      <w:sz w:val="32"/>
    </w:rPr>
  </w:style>
  <w:style w:type="character" w:customStyle="1" w:styleId="51">
    <w:name w:val="Heading 3 Char"/>
    <w:link w:val="4"/>
    <w:qFormat/>
    <w:uiPriority w:val="0"/>
    <w:rPr>
      <w:rFonts w:ascii="Arial" w:hAnsi="Arial" w:eastAsia="Times New Roman"/>
      <w:sz w:val="28"/>
    </w:rPr>
  </w:style>
  <w:style w:type="character" w:customStyle="1" w:styleId="52">
    <w:name w:val="Heading 4 Char"/>
    <w:link w:val="5"/>
    <w:qFormat/>
    <w:uiPriority w:val="0"/>
    <w:rPr>
      <w:rFonts w:ascii="Arial" w:hAnsi="Arial" w:eastAsia="Times New Roman"/>
      <w:sz w:val="24"/>
    </w:rPr>
  </w:style>
  <w:style w:type="character" w:customStyle="1" w:styleId="53">
    <w:name w:val="Heading 5 Char"/>
    <w:link w:val="6"/>
    <w:qFormat/>
    <w:uiPriority w:val="0"/>
    <w:rPr>
      <w:rFonts w:ascii="Arial" w:hAnsi="Arial" w:eastAsia="Times New Roman"/>
      <w:sz w:val="22"/>
    </w:rPr>
  </w:style>
  <w:style w:type="character" w:customStyle="1" w:styleId="54">
    <w:name w:val="Heading 6 Char"/>
    <w:link w:val="7"/>
    <w:qFormat/>
    <w:uiPriority w:val="0"/>
    <w:rPr>
      <w:rFonts w:ascii="Arial" w:hAnsi="Arial" w:eastAsia="Times New Roman"/>
    </w:rPr>
  </w:style>
  <w:style w:type="character" w:customStyle="1" w:styleId="55">
    <w:name w:val="Heading 7 Char"/>
    <w:link w:val="9"/>
    <w:qFormat/>
    <w:uiPriority w:val="0"/>
    <w:rPr>
      <w:rFonts w:ascii="Arial" w:hAnsi="Arial" w:eastAsia="Times New Roman"/>
    </w:rPr>
  </w:style>
  <w:style w:type="character" w:customStyle="1" w:styleId="56">
    <w:name w:val="Heading 8 Char"/>
    <w:link w:val="10"/>
    <w:qFormat/>
    <w:uiPriority w:val="0"/>
    <w:rPr>
      <w:rFonts w:ascii="Arial" w:hAnsi="Arial" w:eastAsia="Times New Roman"/>
      <w:sz w:val="36"/>
    </w:rPr>
  </w:style>
  <w:style w:type="character" w:customStyle="1" w:styleId="57">
    <w:name w:val="Heading 9 Char"/>
    <w:link w:val="11"/>
    <w:qFormat/>
    <w:uiPriority w:val="0"/>
    <w:rPr>
      <w:rFonts w:ascii="Arial" w:hAnsi="Arial" w:eastAsia="Times New Roman"/>
      <w:sz w:val="36"/>
    </w:rPr>
  </w:style>
  <w:style w:type="paragraph" w:customStyle="1" w:styleId="58">
    <w:name w:val="TAC"/>
    <w:basedOn w:val="59"/>
    <w:link w:val="60"/>
    <w:qFormat/>
    <w:uiPriority w:val="0"/>
    <w:pPr>
      <w:jc w:val="center"/>
    </w:pPr>
  </w:style>
  <w:style w:type="paragraph" w:customStyle="1" w:styleId="59">
    <w:name w:val="TAL"/>
    <w:basedOn w:val="1"/>
    <w:link w:val="63"/>
    <w:qFormat/>
    <w:uiPriority w:val="0"/>
    <w:pPr>
      <w:keepNext/>
      <w:keepLines/>
      <w:spacing w:after="0"/>
    </w:pPr>
    <w:rPr>
      <w:rFonts w:ascii="Arial" w:hAnsi="Arial"/>
      <w:sz w:val="18"/>
    </w:rPr>
  </w:style>
  <w:style w:type="character" w:customStyle="1" w:styleId="60">
    <w:name w:val="TAC Char"/>
    <w:link w:val="58"/>
    <w:qFormat/>
    <w:uiPriority w:val="0"/>
    <w:rPr>
      <w:rFonts w:ascii="Arial" w:hAnsi="Arial" w:eastAsia="Times New Roman"/>
      <w:sz w:val="18"/>
    </w:rPr>
  </w:style>
  <w:style w:type="character" w:customStyle="1" w:styleId="61">
    <w:name w:val="Document Map Char"/>
    <w:link w:val="29"/>
    <w:semiHidden/>
    <w:qFormat/>
    <w:uiPriority w:val="99"/>
    <w:rPr>
      <w:rFonts w:ascii="宋体" w:hAnsi="Times New Roman"/>
      <w:sz w:val="18"/>
      <w:szCs w:val="18"/>
      <w:lang w:val="en-GB" w:eastAsia="en-US"/>
    </w:rPr>
  </w:style>
  <w:style w:type="character" w:customStyle="1" w:styleId="62">
    <w:name w:val="Balloon Text Char"/>
    <w:link w:val="35"/>
    <w:semiHidden/>
    <w:qFormat/>
    <w:uiPriority w:val="99"/>
    <w:rPr>
      <w:rFonts w:ascii="Times New Roman" w:hAnsi="Times New Roman"/>
      <w:sz w:val="18"/>
      <w:szCs w:val="18"/>
      <w:lang w:val="en-GB" w:eastAsia="en-US"/>
    </w:rPr>
  </w:style>
  <w:style w:type="character" w:customStyle="1" w:styleId="63">
    <w:name w:val="TAL Car"/>
    <w:link w:val="59"/>
    <w:qFormat/>
    <w:locked/>
    <w:uiPriority w:val="0"/>
    <w:rPr>
      <w:rFonts w:ascii="Arial" w:hAnsi="Arial" w:eastAsia="Times New Roman"/>
      <w:sz w:val="18"/>
    </w:rPr>
  </w:style>
  <w:style w:type="paragraph" w:customStyle="1" w:styleId="64">
    <w:name w:val="TAH"/>
    <w:basedOn w:val="58"/>
    <w:link w:val="68"/>
    <w:qFormat/>
    <w:uiPriority w:val="0"/>
    <w:rPr>
      <w:b/>
    </w:rPr>
  </w:style>
  <w:style w:type="character" w:customStyle="1" w:styleId="65">
    <w:name w:val="TH Char"/>
    <w:link w:val="66"/>
    <w:qFormat/>
    <w:locked/>
    <w:uiPriority w:val="0"/>
    <w:rPr>
      <w:rFonts w:ascii="Arial" w:hAnsi="Arial" w:eastAsia="Times New Roman"/>
      <w:b/>
    </w:rPr>
  </w:style>
  <w:style w:type="paragraph" w:customStyle="1" w:styleId="66">
    <w:name w:val="TH"/>
    <w:basedOn w:val="1"/>
    <w:link w:val="65"/>
    <w:qFormat/>
    <w:uiPriority w:val="0"/>
    <w:pPr>
      <w:keepNext/>
      <w:keepLines/>
      <w:spacing w:before="60"/>
      <w:jc w:val="center"/>
    </w:pPr>
    <w:rPr>
      <w:rFonts w:ascii="Arial" w:hAnsi="Arial"/>
      <w:b/>
    </w:rPr>
  </w:style>
  <w:style w:type="paragraph" w:customStyle="1" w:styleId="67">
    <w:name w:val="TAN"/>
    <w:basedOn w:val="59"/>
    <w:link w:val="69"/>
    <w:qFormat/>
    <w:uiPriority w:val="0"/>
    <w:pPr>
      <w:ind w:left="851" w:hanging="851"/>
    </w:pPr>
  </w:style>
  <w:style w:type="character" w:customStyle="1" w:styleId="68">
    <w:name w:val="TAH Car"/>
    <w:link w:val="64"/>
    <w:qFormat/>
    <w:uiPriority w:val="0"/>
    <w:rPr>
      <w:rFonts w:ascii="Arial" w:hAnsi="Arial" w:eastAsia="Times New Roman"/>
      <w:b/>
      <w:sz w:val="18"/>
    </w:rPr>
  </w:style>
  <w:style w:type="character" w:customStyle="1" w:styleId="69">
    <w:name w:val="TAN Char"/>
    <w:link w:val="67"/>
    <w:qFormat/>
    <w:uiPriority w:val="0"/>
    <w:rPr>
      <w:rFonts w:ascii="Arial" w:hAnsi="Arial" w:eastAsia="Times New Roman"/>
      <w:sz w:val="18"/>
    </w:rPr>
  </w:style>
  <w:style w:type="character" w:customStyle="1" w:styleId="70">
    <w:name w:val="Header Char"/>
    <w:link w:val="37"/>
    <w:qFormat/>
    <w:uiPriority w:val="0"/>
    <w:rPr>
      <w:rFonts w:ascii="Arial" w:hAnsi="Arial" w:eastAsia="Times New Roman"/>
      <w:b/>
      <w:sz w:val="18"/>
    </w:rPr>
  </w:style>
  <w:style w:type="character" w:customStyle="1" w:styleId="71">
    <w:name w:val="Footer Char"/>
    <w:link w:val="36"/>
    <w:qFormat/>
    <w:uiPriority w:val="0"/>
    <w:rPr>
      <w:rFonts w:ascii="Arial" w:hAnsi="Arial" w:eastAsia="Times New Roman"/>
      <w:b/>
      <w:i/>
      <w:sz w:val="18"/>
    </w:rPr>
  </w:style>
  <w:style w:type="character" w:customStyle="1" w:styleId="72">
    <w:name w:val="Date Char"/>
    <w:link w:val="34"/>
    <w:semiHidden/>
    <w:qFormat/>
    <w:uiPriority w:val="99"/>
    <w:rPr>
      <w:rFonts w:ascii="Times New Roman" w:hAnsi="Times New Roman"/>
      <w:lang w:val="en-GB" w:eastAsia="en-US"/>
    </w:rPr>
  </w:style>
  <w:style w:type="paragraph" w:styleId="73">
    <w:name w:val="List Paragraph"/>
    <w:basedOn w:val="1"/>
    <w:link w:val="104"/>
    <w:qFormat/>
    <w:uiPriority w:val="34"/>
    <w:pPr>
      <w:ind w:firstLine="420" w:firstLineChars="200"/>
    </w:pPr>
  </w:style>
  <w:style w:type="character" w:customStyle="1" w:styleId="74">
    <w:name w:val="texhtml"/>
    <w:basedOn w:val="47"/>
    <w:qFormat/>
    <w:uiPriority w:val="0"/>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T"/>
    <w:basedOn w:val="2"/>
    <w:next w:val="1"/>
    <w:qFormat/>
    <w:uiPriority w:val="0"/>
    <w:pPr>
      <w:outlineLvl w:val="9"/>
    </w:pPr>
  </w:style>
  <w:style w:type="character" w:customStyle="1" w:styleId="78">
    <w:name w:val="Footnote Text Char"/>
    <w:basedOn w:val="47"/>
    <w:link w:val="38"/>
    <w:semiHidden/>
    <w:qFormat/>
    <w:uiPriority w:val="0"/>
    <w:rPr>
      <w:rFonts w:ascii="Times New Roman" w:hAnsi="Times New Roman" w:eastAsia="Times New Roman"/>
      <w:sz w:val="16"/>
    </w:rPr>
  </w:style>
  <w:style w:type="paragraph" w:customStyle="1" w:styleId="79">
    <w:name w:val="TF"/>
    <w:basedOn w:val="66"/>
    <w:qFormat/>
    <w:uiPriority w:val="0"/>
    <w:pPr>
      <w:keepNext w:val="0"/>
      <w:spacing w:before="0" w:after="240"/>
    </w:pPr>
  </w:style>
  <w:style w:type="paragraph" w:customStyle="1" w:styleId="80">
    <w:name w:val="NO"/>
    <w:basedOn w:val="1"/>
    <w:qFormat/>
    <w:uiPriority w:val="0"/>
    <w:pPr>
      <w:keepLines/>
      <w:ind w:left="1135" w:hanging="851"/>
    </w:pPr>
  </w:style>
  <w:style w:type="paragraph" w:customStyle="1" w:styleId="81">
    <w:name w:val="EX"/>
    <w:basedOn w:val="1"/>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59"/>
    <w:qFormat/>
    <w:uiPriority w:val="0"/>
    <w:pPr>
      <w:jc w:val="right"/>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80"/>
    <w:qFormat/>
    <w:uiPriority w:val="0"/>
    <w:rPr>
      <w:color w:val="FF0000"/>
    </w:rPr>
  </w:style>
  <w:style w:type="paragraph" w:customStyle="1" w:styleId="98">
    <w:name w:val="B1"/>
    <w:basedOn w:val="14"/>
    <w:qFormat/>
    <w:uiPriority w:val="0"/>
  </w:style>
  <w:style w:type="paragraph" w:customStyle="1" w:styleId="99">
    <w:name w:val="B2"/>
    <w:basedOn w:val="13"/>
    <w:qFormat/>
    <w:uiPriority w:val="0"/>
  </w:style>
  <w:style w:type="paragraph" w:customStyle="1" w:styleId="100">
    <w:name w:val="B3"/>
    <w:basedOn w:val="12"/>
    <w:qFormat/>
    <w:uiPriority w:val="0"/>
  </w:style>
  <w:style w:type="paragraph" w:customStyle="1" w:styleId="101">
    <w:name w:val="B4"/>
    <w:basedOn w:val="40"/>
    <w:qFormat/>
    <w:uiPriority w:val="0"/>
  </w:style>
  <w:style w:type="paragraph" w:customStyle="1" w:styleId="102">
    <w:name w:val="B5"/>
    <w:basedOn w:val="39"/>
    <w:qFormat/>
    <w:uiPriority w:val="0"/>
  </w:style>
  <w:style w:type="paragraph" w:customStyle="1" w:styleId="103">
    <w:name w:val="ZTD"/>
    <w:basedOn w:val="91"/>
    <w:qFormat/>
    <w:uiPriority w:val="0"/>
    <w:pPr>
      <w:framePr w:hRule="auto" w:y="852"/>
    </w:pPr>
    <w:rPr>
      <w:i w:val="0"/>
      <w:sz w:val="40"/>
    </w:rPr>
  </w:style>
  <w:style w:type="character" w:customStyle="1" w:styleId="104">
    <w:name w:val="List Paragraph Char"/>
    <w:link w:val="73"/>
    <w:qFormat/>
    <w:locked/>
    <w:uiPriority w:val="34"/>
    <w:rPr>
      <w:rFonts w:ascii="Times New Roman" w:hAnsi="Times New Roman" w:eastAsia="Times New Roman"/>
      <w:lang w:val="en-GB" w:eastAsia="en-GB" w:bidi="ar-SA"/>
    </w:rPr>
  </w:style>
  <w:style w:type="paragraph" w:customStyle="1" w:styleId="105">
    <w:name w:val="Revision"/>
    <w:hidden/>
    <w:unhideWhenUsed/>
    <w:qFormat/>
    <w:uiPriority w:val="99"/>
    <w:rPr>
      <w:rFonts w:ascii="Times New Roman" w:hAnsi="Times New Roman" w:eastAsia="Times New Roman" w:cs="Times New Roman"/>
      <w:lang w:val="en-GB" w:eastAsia="en-GB" w:bidi="ar-SA"/>
    </w:rPr>
  </w:style>
  <w:style w:type="table" w:customStyle="1" w:styleId="106">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6</Pages>
  <Words>925</Words>
  <Characters>5654</Characters>
  <Lines>141</Lines>
  <Paragraphs>111</Paragraphs>
  <TotalTime>32</TotalTime>
  <ScaleCrop>false</ScaleCrop>
  <LinksUpToDate>false</LinksUpToDate>
  <CharactersWithSpaces>6468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CMCC-shiyuan-V2</cp:lastModifiedBy>
  <dcterms:modified xsi:type="dcterms:W3CDTF">2025-04-11T01:58:16Z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ies>
</file>